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2020年度</w:t>
              <w:br w:type="textWrapping"/>
              <w:t/>
            </w:r>
            <w:r>
              <w:rPr>
                <w:rFonts w:ascii="宋体" w:hAnsi="宋体" w:cs="宋体" w:eastAsia="宋体"/>
                <w:b w:val="true"/>
                <w:sz w:val="52"/>
              </w:rPr>
              <w:t>江苏省无锡交通高等职业技术学校</w:t>
            </w:r>
            <w:r>
              <w:rPr>
                <w:rFonts w:ascii="宋体" w:hAnsi="宋体" w:cs="宋体" w:eastAsia="宋体"/>
                <w:b w:val="true"/>
                <w:sz w:val="52"/>
              </w:rPr>
              <w:t xml:space="preserve"></w:t>
              <w:br w:type="textWrapping"/>
              <w:t>单位决算公开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三、2020年度主要工作完成情况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2020</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十、政府性基金预算收入支出决算表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十一、一般公共预算机关运行经费支出决算表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十二、政府采购支出决算表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bidi="ar"/>
        </w:rPr>
        <w:t>2020年度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bidi="ar"/>
        </w:rPr>
        <w:t>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spacing w:line="235" w:lineRule="auto"/>
        <w:ind w:left="669" w:leftChars="300" w:right="2414" w:hanging="9" w:firstLineChars="0"/>
        <w:jc w:val="both"/>
        <w:rPr>
          <w:rFonts w:hint="eastAsia" w:ascii="仿宋" w:hAnsi="仿宋" w:eastAsia="仿宋" w:cs="仿宋"/>
        </w:rPr>
        <w:sectPr>
          <w:footerReference r:id="rId5"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1.承担五年制高职、中职、技工等全日制职业教育。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2.落实好立德树人根本任务。对受教育者进行思想政治教育和职业道德教育，传授职业知识，培养职业技能，进行职业指导，全面提高受教育者的素质。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展内河船员培训；开展初级工、中级工、高级工、技师、高级技师等培训；开展全省交通运输综合执法人员业务培训、执法能力培训、法治能力提升培训；开展全省企业事业单位岗位技能提升、工种技能鉴定等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提升职业教育现代化水平。推进学校现代化建设，打造省领航学校、现代化实训基地、现代化专业群、智慧校园，建设集实践教学、社会培训、企业真实生产和社会技术服务于一体的高水平职业教育实训基地，大幅提升新时代职业教育现代化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5.营造良好育人环境。深入开展“劳模工匠进校园”等活动，为促进经济社会发展和提高区域竞争力提供优质人才资源支撑。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6.推进校企深度融合。实行工学结合、校企合作、顶岗实习的人才培养模式，强化实习实训，与企业开展人才培养、技术创新、就业创业、社会服务、文化传承等方面合作。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7.加强师资队伍建设，提升教学科研水平。坚持人才强校战略，多措并举打造“双师型”教师队伍。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构建国际化开放办学新格局。坚持把国际化融入学校人才培养、科学研究、师资队伍、专业建设以及管理服务等工作，持续推进与德国等境外院校合作与交流，开展焊接、机电、商务管理等专业国际职业资格证书衔接，拓展师生国际化视野。</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职责分工，本</w:t>
      </w:r>
      <w:r>
        <w:rPr>
          <w:rFonts w:hint="eastAsia" w:ascii="仿宋" w:hAnsi="仿宋" w:eastAsia="仿宋" w:cs="仿宋"/>
          <w:lang w:val="en-US" w:eastAsia="zh-CN"/>
        </w:rPr>
        <w:t>单位</w:t>
      </w:r>
      <w:r>
        <w:rPr>
          <w:rFonts w:hint="eastAsia" w:ascii="仿宋" w:hAnsi="仿宋" w:eastAsia="仿宋" w:cs="仿宋"/>
        </w:rPr>
        <w:t>内设机构包括</w:t>
      </w:r>
      <w:r>
        <w:rPr>
          <w:rFonts w:hint="eastAsia" w:ascii="仿宋" w:hAnsi="仿宋" w:eastAsia="仿宋" w:cs="仿宋"/>
          <w:lang w:eastAsia="zh-CN"/>
        </w:rPr>
        <w:t>：</w:t>
      </w:r>
      <w:r>
        <w:rPr>
          <w:rFonts w:hint="eastAsia" w:ascii="仿宋" w:hAnsi="仿宋" w:eastAsia="仿宋" w:cs="仿宋"/>
          <w:lang w:val="en-US"/>
        </w:rPr>
        <w:t/>
      </w:r>
      <w:r>
        <w:rPr>
          <w:rFonts w:ascii="仿宋" w:hAnsi="仿宋" w:cs="仿宋" w:eastAsia="仿宋"/>
        </w:rPr>
        <w:t/>
      </w:r>
      <w:r>
        <w:rPr>
          <w:rFonts w:ascii="仿宋" w:hAnsi="仿宋" w:cs="仿宋" w:eastAsia="仿宋"/>
        </w:rPr>
        <w:t>党政办公室（党委宣传部）、组织人事处（党校）、财务处（审计处）、教务处（教师教学发展中心）、学生工作处（大学生素质教育中心、大学生创新创业教育中心）、招生就业处（校友工作办公室）、安全保卫处、科技与合作处、发展规划处（教学质量管理办公室、质量体系建设办公室）、资产管理处（招标采购管理办公室）、后勤管理处（基建办）、纪委办公室（监察处）、团委（团校）、工会（离退休工作办公室、医疗管理办公室与工会合署办公）、船舶工程学院、机械工程学院、机电工程学院、汽车工程学院、交通工程学院、信息管理学院、物流管理学院、基础教学部（马克思主义学院）、继续教育学院（国际教育交流中心）、图文信息中心（图书馆、信息化建设办公室）、锡澄校区管理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从决算单位构成看，纳入本</w:t>
      </w:r>
      <w:r>
        <w:rPr>
          <w:rFonts w:hint="eastAsia" w:ascii="仿宋" w:hAnsi="仿宋" w:eastAsia="仿宋" w:cs="仿宋"/>
          <w:lang w:val="en-US" w:eastAsia="zh-CN"/>
        </w:rPr>
        <w:t>单位</w:t>
      </w:r>
      <w:r>
        <w:rPr>
          <w:rFonts w:hint="eastAsia" w:ascii="仿宋" w:hAnsi="仿宋" w:eastAsia="仿宋" w:cs="仿宋"/>
        </w:rPr>
        <w:t>2020年</w:t>
      </w:r>
      <w:r>
        <w:rPr>
          <w:rFonts w:hint="eastAsia" w:ascii="仿宋" w:hAnsi="仿宋" w:eastAsia="仿宋" w:cs="仿宋"/>
          <w:lang w:val="en-US" w:eastAsia="zh-CN"/>
        </w:rPr>
        <w:t>单位</w:t>
      </w:r>
      <w:r>
        <w:rPr>
          <w:rFonts w:hint="eastAsia" w:ascii="仿宋" w:hAnsi="仿宋" w:eastAsia="仿宋" w:cs="仿宋"/>
        </w:rPr>
        <w:t>汇总决算编制范围的预算单位共计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江苏省无锡交通高等职业技术学校。</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三、2020年度主要工作完成情况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党的建设全面加强。加强理论武装，学校党委始终将党的政治建设摆在首位，深入学习贯彻习近平新时代中国特色社会主义思想。今年组织党委中心组学习19次。适应学校领导体制机制变化，建立和完善了行政会议制度及议事规则，全面落实“三重一大”事项集体决策制度，今年召开党委会26次，召开校务会20次。落实意识形态工作责任制，分别召开意识形态与宣传思想工作座谈会和分析研判会，抓牢抓实意识形态工作。加强基层党组织建设，完成院部党总支、基层党支部换届选举工作。加强干部队伍建设，举办暑期管理骨干能力建设培训班。深化党风廉政建设，组织党风廉政教育月活动，征集廉言廉语300余条，开展制度执行情况专项检查，对制度执行不到位等行为问责提醒，年内开展批评教育17人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疫情防控工作卓有成效。根据省厅、地方政府常态化疫情防控要求，制定方案、储备物资、加强管控，组建学校教职工党员先锋队。分批错时安排学生返校复学，组织开展“增强卫生意识、保障师生健康”劳动教育活动，上半年5000余名学生返校复学。学校落实人物同防、多病共防要求，做好常态化疫情防控工作，下半年7100余名学生正常报到开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师资队伍建设不断加强。加强师德师风建设，组织开展学校师德主题教育活动，印发学校《教师师德手册》，全校教师签订师德师风承诺书。开展师德师风先进集体、个人评选活动。开展教师招录工作，今年完成三批共25名教师招录，教师中研究生比例达64%。加强青年教师培养，开展新教师入职宣誓，举行了“青蓝工程”师徒结对仪式，举办“青年论坛”活动，帮助青年教师快速成长。提升人才层次，22人获得中、高级职称。1人入选省交通运输行业“高层次领军人才培养计划”，3人获“优秀交通青年”。科研水平不断提升，全年教职工公开发表论文276篇，市级以上课题立项11项。《党建文化长廊》获社科普及项目经费资助，学校获评联院“教科研先进集体”荣誉称号，1个项目获2019年无锡市教学成果奖一等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专业建设不断推进。优化专业结构，新开设4个专业。2个专业获批“3+4”中职本科贯通培养项目，5个专业获批“3+3”中职高职贯通培养项目。计算机应用技术专业群被认定为“江苏省职业学校现代化专业群”。实训基地建设取得新成效，汽车检测与维修技术实训基地被评为江苏省现代化实训基地。完成江苏省交通运输物联网技术等3个实训基地建设，初步建成交通行业船文化中心。深化产教融合，与15家企业签订校企合作培养协议，与天目湖旅游公司等开展现代学徒制项目。与无锡交建集团共建技术研究中心。与省内“独角兽”企业共同主办“运满满”物流发展论坛。与无锡信捷公司合作入选厅属院校第一批产教融合试点项目。加快课程资源建设，开展网络课程资源建设，全校有315门课程实现网络教学。2020年，《电子技术与技能训练》等三门课程获评无锡市精品课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5.招生就业取得好成绩。学校2020年实际招生2173人，圆满完成本年度招生计划。做好毕业生就业工作，2020届毕业学生1726人，到目前为止就业率达91.20%。实现“进出两旺”。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技能大赛取得新突破。获得全国技能大赛一等奖1项，两名教师被授予全国技术能手荣誉称号。在省技能大赛中获得一等奖1项，二、三等奖13项，6名教师荣获“优秀教练”称号。《纸创空间》项目在“挑战杯”省大学生创业计划决赛中获得金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智慧校园建设持续推进。完成了学校超融合数据中心和智慧教室改造工程，开发了新生报名缴费系统，完成了学校综合门户网站建设。为适应疫情常态化管理要求，学校设计开发了师生健康上报系统和学生出入管理系统。引入农业银行无锡分行开展战略合作，完成校园一卡通系统、财务收缴费系统和学生宿舍电控系统升级改造工作。今年获评“江苏省职业学校智慧校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积极开展社会服务。主动服务国家战略，开展东西合作教育扶贫工作。与陕西洛川、云南大理开展联合招生106人。承接陕西省中职校18位管理人员研修工作。服务区域经济社会发展。全年开展社会培训、技能考证等社会服务共 12950 人次。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9.国际合作办学不断深入。拓展德国手工业行会合作项目，增加了物流管理师班，今年完成国际合作4个班，共95人的招生工作。组织15名教师参加了中德合作项目的师资培训。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10.为师生办实事。开展在宿舍楼公共区域配备冰箱和微波炉等10项为师生办实事项目。引入校园直饮水、生活开水、洗浴热水BOT项目，为所有教室配备了窗帘和生活柜。</w:t>
      </w:r>
      <w:r>
        <w:rPr>
          <w:rFonts w:ascii="仿宋" w:hAnsi="仿宋" w:cs="仿宋" w:eastAsia="仿宋"/>
        </w:rPr>
        <w:t/>
      </w:r>
    </w:p>
    <w:p>
      <w:pPr>
        <w:pStyle w:val="21"/>
        <w:tabs>
          <w:tab w:val="left" w:pos="1100"/>
          <w:tab w:val="left" w:pos="1609"/>
        </w:tabs>
        <w:spacing w:before="12" w:after="0" w:line="300" w:lineRule="auto"/>
        <w:ind w:left="1208" w:right="880" w:firstLine="0"/>
        <w:jc w:val="both"/>
        <w:rPr>
          <w:rFonts w:ascii="华文仿宋" w:hAnsi="华文仿宋" w:eastAsia="华文仿宋" w:cs="仿宋"/>
          <w:lang w:val="en-US"/>
        </w:rPr>
      </w:pPr>
      <w:r>
        <w:br w:type="page"/>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江苏省无锡交通高等职业技术学校</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2020年度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决算表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544" w:hRule="atLeast"/>
          <w:jc w:val="center"/>
        </w:trPr>
        <w:tc>
          <w:tcPr>
            <w:tcW w:w="11329"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仿宋" w:hAnsi="仿宋" w:eastAsia="仿宋" w:cs="仿宋"/>
                <w:b/>
                <w:bCs/>
                <w:color w:val="000000"/>
                <w:sz w:val="44"/>
                <w:szCs w:val="44"/>
                <w:lang w:eastAsia="ar-SA"/>
              </w:rPr>
              <w:t>收入支出决算总表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3908" w:type="dxa"/>
          </w:tcPr>
          <w:p>
            <w:pPr>
              <w:widowControl w:val="0"/>
              <w:ind w:left="0" w:right="0" w:firstLine="0"/>
              <w:jc w:val="left"/>
              <w:textAlignment w:val="auto"/>
              <w:rPr>
                <w:rFonts w:hint="eastAsia" w:ascii="仿宋" w:hAnsi="仿宋" w:eastAsia="仿宋" w:cs="仿宋"/>
                <w:color w:val="000000"/>
                <w:sz w:val="20"/>
              </w:rPr>
            </w:pPr>
          </w:p>
        </w:tc>
        <w:tc>
          <w:tcPr>
            <w:tcW w:w="1869" w:type="dxa"/>
          </w:tcPr>
          <w:p>
            <w:pPr>
              <w:widowControl w:val="0"/>
              <w:ind w:left="0" w:right="0" w:firstLine="0"/>
              <w:jc w:val="left"/>
              <w:textAlignment w:val="auto"/>
              <w:rPr>
                <w:rFonts w:hint="eastAsia" w:ascii="仿宋" w:hAnsi="仿宋" w:eastAsia="仿宋" w:cs="仿宋"/>
                <w:color w:val="000000"/>
                <w:sz w:val="20"/>
              </w:rPr>
            </w:pPr>
          </w:p>
        </w:tc>
        <w:tc>
          <w:tcPr>
            <w:tcW w:w="555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color w:val="000000"/>
                <w:sz w:val="22"/>
                <w:szCs w:val="22"/>
                <w:lang w:eastAsia="ar-SA"/>
              </w:rPr>
              <w:t>江苏省无锡交通高等职业技术学校</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450"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9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ascii="仿宋" w:hAnsi="仿宋" w:cs="仿宋" w:eastAsia="仿宋"/>
                <w:color w:val="000000"/>
                <w:sz w:val="22"/>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13,193.29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11,983.41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327.60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824.40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1,570.11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5"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454"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15,670.89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14,389.93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413"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    使用非财政拨款结余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    结余分配</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413"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    年初结转和结余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502.94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    年末结转和结余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1,783.91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83" w:hRule="atLeast"/>
          <w:jc w:val="center"/>
        </w:trPr>
        <w:tc>
          <w:tcPr>
            <w:tcW w:w="390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869"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771"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781"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454"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16,173.84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16,173.84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left="-440" w:leftChars="-200" w:right="0" w:firstLine="0" w:firstLineChars="0"/>
        <w:jc w:val="left"/>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注：1.本表金额转换为万元时，因四舍五入可能存在尾差。</w:t>
      </w:r>
    </w:p>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21" w:type="dxa"/>
        <w:jc w:val="center"/>
        <w:tblLayout w:type="fixed"/>
        <w:tblCellMar>
          <w:top w:w="0" w:type="dxa"/>
          <w:left w:w="108" w:type="dxa"/>
          <w:bottom w:w="0" w:type="dxa"/>
          <w:right w:w="108" w:type="dxa"/>
        </w:tblCellMar>
      </w:tblPr>
      <w:tblGrid>
        <w:gridCol w:w="1599"/>
        <w:gridCol w:w="2236"/>
        <w:gridCol w:w="1680"/>
        <w:gridCol w:w="1646"/>
        <w:gridCol w:w="1354"/>
        <w:gridCol w:w="1646"/>
        <w:gridCol w:w="1543"/>
        <w:gridCol w:w="1457"/>
        <w:gridCol w:w="1509"/>
        <w:gridCol w:w="1451"/>
      </w:tblGrid>
      <w:tr>
        <w:tblPrEx>
          <w:tblCellMar>
            <w:top w:w="0" w:type="dxa"/>
            <w:left w:w="108" w:type="dxa"/>
            <w:bottom w:w="0" w:type="dxa"/>
            <w:right w:w="108" w:type="dxa"/>
          </w:tblCellMar>
        </w:tblPrEx>
        <w:trPr>
          <w:trHeight w:val="627" w:hRule="atLeast"/>
          <w:jc w:val="center"/>
        </w:trPr>
        <w:tc>
          <w:tcPr>
            <w:tcW w:w="16121"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仿宋" w:hAnsi="仿宋" w:eastAsia="仿宋" w:cs="仿宋"/>
                <w:b/>
                <w:bCs/>
                <w:sz w:val="44"/>
                <w:szCs w:val="44"/>
              </w:rPr>
              <w:t>收入决算表</w:t>
            </w:r>
          </w:p>
        </w:tc>
      </w:tr>
      <w:tr>
        <w:tblPrEx>
          <w:tblCellMar>
            <w:top w:w="0" w:type="dxa"/>
            <w:left w:w="108" w:type="dxa"/>
            <w:bottom w:w="0" w:type="dxa"/>
            <w:right w:w="108" w:type="dxa"/>
          </w:tblCellMar>
        </w:tblPrEx>
        <w:trPr>
          <w:trHeight w:val="314" w:hRule="atLeast"/>
          <w:jc w:val="center"/>
        </w:trPr>
        <w:tc>
          <w:tcPr>
            <w:tcW w:w="3835" w:type="dxa"/>
            <w:gridSpan w:val="2"/>
            <w:vAlign w:val="center"/>
          </w:tcPr>
          <w:p>
            <w:pPr>
              <w:pStyle w:val="22"/>
              <w:widowControl w:val="0"/>
              <w:jc w:val="center"/>
              <w:rPr>
                <w:rFonts w:hint="eastAsia" w:ascii="仿宋" w:hAnsi="仿宋" w:eastAsia="仿宋" w:cs="仿宋"/>
              </w:rPr>
            </w:pPr>
          </w:p>
        </w:tc>
        <w:tc>
          <w:tcPr>
            <w:tcW w:w="1680" w:type="dxa"/>
            <w:vAlign w:val="center"/>
          </w:tcPr>
          <w:p>
            <w:pPr>
              <w:pStyle w:val="22"/>
              <w:widowControl w:val="0"/>
              <w:jc w:val="center"/>
              <w:rPr>
                <w:rFonts w:hint="eastAsia" w:ascii="仿宋" w:hAnsi="仿宋" w:eastAsia="仿宋" w:cs="仿宋"/>
              </w:rPr>
            </w:pPr>
          </w:p>
        </w:tc>
        <w:tc>
          <w:tcPr>
            <w:tcW w:w="1646" w:type="dxa"/>
            <w:vAlign w:val="center"/>
          </w:tcPr>
          <w:p>
            <w:pPr>
              <w:pStyle w:val="22"/>
              <w:widowControl w:val="0"/>
              <w:jc w:val="center"/>
              <w:rPr>
                <w:rFonts w:hint="eastAsia" w:ascii="仿宋" w:hAnsi="仿宋" w:eastAsia="仿宋" w:cs="仿宋"/>
              </w:rPr>
            </w:pPr>
          </w:p>
        </w:tc>
        <w:tc>
          <w:tcPr>
            <w:tcW w:w="1354" w:type="dxa"/>
            <w:vAlign w:val="center"/>
          </w:tcPr>
          <w:p>
            <w:pPr>
              <w:pStyle w:val="22"/>
              <w:widowControl w:val="0"/>
              <w:jc w:val="center"/>
              <w:rPr>
                <w:rFonts w:hint="eastAsia" w:ascii="仿宋" w:hAnsi="仿宋" w:eastAsia="仿宋" w:cs="仿宋"/>
              </w:rPr>
            </w:pPr>
          </w:p>
        </w:tc>
        <w:tc>
          <w:tcPr>
            <w:tcW w:w="3189" w:type="dxa"/>
            <w:gridSpan w:val="2"/>
            <w:vAlign w:val="center"/>
          </w:tcPr>
          <w:p>
            <w:pPr>
              <w:pStyle w:val="22"/>
              <w:widowControl w:val="0"/>
              <w:jc w:val="center"/>
              <w:rPr>
                <w:rFonts w:hint="eastAsia" w:ascii="仿宋" w:hAnsi="仿宋" w:eastAsia="仿宋" w:cs="仿宋"/>
              </w:rPr>
            </w:pPr>
          </w:p>
        </w:tc>
        <w:tc>
          <w:tcPr>
            <w:tcW w:w="1457" w:type="dxa"/>
            <w:vAlign w:val="center"/>
          </w:tcPr>
          <w:p>
            <w:pPr>
              <w:pStyle w:val="22"/>
              <w:widowControl w:val="0"/>
              <w:jc w:val="center"/>
              <w:rPr>
                <w:rFonts w:hint="eastAsia" w:ascii="仿宋" w:hAnsi="仿宋" w:eastAsia="仿宋" w:cs="仿宋"/>
              </w:rPr>
            </w:pPr>
          </w:p>
        </w:tc>
        <w:tc>
          <w:tcPr>
            <w:tcW w:w="296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376" w:hRule="atLeast"/>
          <w:jc w:val="center"/>
        </w:trPr>
        <w:tc>
          <w:tcPr>
            <w:tcW w:w="13161"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296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312" w:hRule="atLeast"/>
          <w:jc w:val="center"/>
        </w:trPr>
        <w:tc>
          <w:tcPr>
            <w:tcW w:w="3835"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680"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646"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35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3189"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w:t>
            </w:r>
          </w:p>
        </w:tc>
        <w:tc>
          <w:tcPr>
            <w:tcW w:w="1457"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509"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45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935" w:hRule="atLeast"/>
          <w:jc w:val="center"/>
        </w:trPr>
        <w:tc>
          <w:tcPr>
            <w:tcW w:w="159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23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68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46"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5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4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小计</w:t>
            </w:r>
          </w:p>
        </w:tc>
        <w:tc>
          <w:tcPr>
            <w:tcW w:w="15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其中：教育收费</w:t>
            </w:r>
          </w:p>
        </w:tc>
        <w:tc>
          <w:tcPr>
            <w:tcW w:w="1457"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09"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45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432" w:hRule="exact"/>
          <w:jc w:val="center"/>
        </w:trPr>
        <w:tc>
          <w:tcPr>
            <w:tcW w:w="383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68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15,670.89</w:t>
            </w:r>
          </w:p>
        </w:tc>
        <w:tc>
          <w:tcPr>
            <w:tcW w:w="164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13,193.29</w:t>
            </w:r>
          </w:p>
        </w:tc>
        <w:tc>
          <w:tcPr>
            <w:tcW w:w="135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64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2,150.00</w:t>
            </w:r>
          </w:p>
        </w:tc>
        <w:tc>
          <w:tcPr>
            <w:tcW w:w="154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2,150.00</w:t>
            </w:r>
          </w:p>
        </w:tc>
        <w:tc>
          <w:tcPr>
            <w:tcW w:w="145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509"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451"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327.60</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205</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教育支出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13,256.38</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12,117.83</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810.95</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810.95</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327.60</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20503</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职业教育</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13,256.38</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12,117.83</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810.95</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810.95</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327.60</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2050302</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中等职业教育</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13,250.98</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12,112.43</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810.95</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810.95</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327.60</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2050305</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高等职业教育</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824.40</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824.40</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20805</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行政事业单位养老支出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824.40</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824.40</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2080505</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机关事业单位基本养老保险缴费支出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549.60</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549.60</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2080506</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机关事业单位职业年金缴费支出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274.80</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274.80</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214</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交通运输支出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21499</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其他交通运输支出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2149999</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其他交通运输支出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1,570.11</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1,339.05</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1,339.05</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22102</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住房改革支出</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1,570.11</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1,339.05</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1,339.05</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2210201</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住房公积金</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458.96</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458.96</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458.96</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59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2210202</w:t>
            </w:r>
          </w:p>
        </w:tc>
        <w:tc>
          <w:tcPr>
            <w:tcW w:w="2236"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提租补贴</w:t>
            </w:r>
          </w:p>
        </w:tc>
        <w:tc>
          <w:tcPr>
            <w:tcW w:w="168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1,111.15</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35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880.09</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880.09</w:t>
            </w:r>
          </w:p>
        </w:tc>
        <w:tc>
          <w:tcPr>
            <w:tcW w:w="14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0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45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suppressAutoHyphens/>
        <w:bidi w:val="0"/>
        <w:spacing w:before="66" w:after="0"/>
        <w:ind w:left="-220" w:leftChars="0" w:right="0" w:firstLine="0" w:firstLineChars="0"/>
        <w:jc w:val="left"/>
        <w:rPr>
          <w:rFonts w:hint="eastAsia" w:ascii="仿宋" w:hAnsi="仿宋" w:eastAsia="仿宋" w:cs="仿宋"/>
          <w:b/>
          <w:bCs/>
          <w:sz w:val="22"/>
          <w:szCs w:val="22"/>
        </w:rPr>
      </w:pPr>
      <w:r>
        <w:rPr>
          <w:rFonts w:hint="eastAsia" w:ascii="仿宋" w:hAnsi="仿宋" w:eastAsia="仿宋" w:cs="仿宋"/>
          <w:b/>
          <w:bCs/>
          <w:color w:val="000000"/>
          <w:sz w:val="22"/>
          <w:szCs w:val="22"/>
        </w:rPr>
        <w:t>注：</w:t>
      </w:r>
      <w:r>
        <w:rPr>
          <w:rFonts w:hint="eastAsia" w:ascii="仿宋" w:hAnsi="仿宋" w:eastAsia="仿宋" w:cs="仿宋"/>
          <w:b/>
          <w:bCs/>
          <w:color w:val="000000"/>
          <w:sz w:val="22"/>
          <w:szCs w:val="22"/>
          <w:lang w:val="en-US" w:eastAsia="zh-CN"/>
        </w:rPr>
        <w:t>1.</w:t>
      </w:r>
      <w:r>
        <w:rPr>
          <w:rFonts w:hint="eastAsia" w:ascii="仿宋" w:hAnsi="仿宋" w:eastAsia="仿宋" w:cs="仿宋"/>
          <w:b/>
          <w:bCs/>
          <w:sz w:val="22"/>
          <w:szCs w:val="22"/>
        </w:rPr>
        <w:t>本表金额转换为万元时，因四舍五入可能存在尾差。</w:t>
      </w:r>
    </w:p>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7"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widowControl w:val="0"/>
              <w:rPr>
                <w:rFonts w:hint="eastAsia" w:ascii="仿宋" w:hAnsi="仿宋" w:eastAsia="仿宋" w:cs="仿宋"/>
                <w:b/>
                <w:bCs/>
                <w:sz w:val="44"/>
                <w:szCs w:val="44"/>
              </w:rPr>
            </w:pPr>
            <w:r>
              <w:rPr>
                <w:rFonts w:hint="eastAsia" w:ascii="仿宋" w:hAnsi="仿宋" w:eastAsia="仿宋" w:cs="仿宋"/>
                <w:b/>
                <w:bCs/>
                <w:sz w:val="44"/>
                <w:szCs w:val="44"/>
              </w:rPr>
              <w:t>支出决算表</w:t>
            </w:r>
          </w:p>
        </w:tc>
      </w:tr>
      <w:tr>
        <w:trPr>
          <w:trHeight w:val="321" w:hRule="atLeast"/>
        </w:trPr>
        <w:tc>
          <w:tcPr>
            <w:tcW w:w="4779" w:type="dxa"/>
            <w:gridSpan w:val="2"/>
            <w:vAlign w:val="center"/>
          </w:tcPr>
          <w:p>
            <w:pPr>
              <w:pStyle w:val="22"/>
              <w:widowControl w:val="0"/>
              <w:jc w:val="center"/>
              <w:rPr>
                <w:rFonts w:hint="eastAsia" w:ascii="仿宋" w:hAnsi="仿宋" w:eastAsia="仿宋" w:cs="仿宋"/>
              </w:rPr>
            </w:pPr>
          </w:p>
        </w:tc>
        <w:tc>
          <w:tcPr>
            <w:tcW w:w="1920" w:type="dxa"/>
            <w:vAlign w:val="center"/>
          </w:tcPr>
          <w:p>
            <w:pPr>
              <w:pStyle w:val="22"/>
              <w:widowControl w:val="0"/>
              <w:spacing w:before="0" w:after="0"/>
              <w:ind w:firstLine="0"/>
              <w:jc w:val="center"/>
              <w:rPr>
                <w:rFonts w:hint="eastAsia" w:ascii="仿宋" w:hAnsi="仿宋" w:eastAsia="仿宋" w:cs="仿宋"/>
                <w:sz w:val="20"/>
              </w:rPr>
            </w:pPr>
          </w:p>
        </w:tc>
        <w:tc>
          <w:tcPr>
            <w:tcW w:w="1714" w:type="dxa"/>
            <w:vAlign w:val="center"/>
          </w:tcPr>
          <w:p>
            <w:pPr>
              <w:pStyle w:val="22"/>
              <w:widowControl w:val="0"/>
              <w:spacing w:before="0" w:after="0"/>
              <w:ind w:firstLine="0"/>
              <w:jc w:val="center"/>
              <w:rPr>
                <w:rFonts w:hint="eastAsia" w:ascii="仿宋" w:hAnsi="仿宋" w:eastAsia="仿宋" w:cs="仿宋"/>
                <w:sz w:val="20"/>
              </w:rPr>
            </w:pPr>
          </w:p>
        </w:tc>
        <w:tc>
          <w:tcPr>
            <w:tcW w:w="1749" w:type="dxa"/>
            <w:vAlign w:val="center"/>
          </w:tcPr>
          <w:p>
            <w:pPr>
              <w:pStyle w:val="22"/>
              <w:widowControl w:val="0"/>
              <w:spacing w:before="0" w:after="0"/>
              <w:ind w:firstLine="0"/>
              <w:jc w:val="center"/>
              <w:rPr>
                <w:rFonts w:hint="eastAsia" w:ascii="仿宋" w:hAnsi="仿宋" w:eastAsia="仿宋" w:cs="仿宋"/>
                <w:sz w:val="20"/>
              </w:rPr>
            </w:pPr>
          </w:p>
        </w:tc>
        <w:tc>
          <w:tcPr>
            <w:tcW w:w="1868" w:type="dxa"/>
            <w:vAlign w:val="center"/>
          </w:tcPr>
          <w:p>
            <w:pPr>
              <w:pStyle w:val="22"/>
              <w:widowControl w:val="0"/>
              <w:spacing w:before="0" w:after="0"/>
              <w:ind w:firstLine="0"/>
              <w:jc w:val="center"/>
              <w:rPr>
                <w:rFonts w:hint="eastAsia" w:ascii="仿宋" w:hAnsi="仿宋" w:eastAsia="仿宋" w:cs="仿宋"/>
                <w:sz w:val="20"/>
              </w:rPr>
            </w:pPr>
          </w:p>
        </w:tc>
        <w:tc>
          <w:tcPr>
            <w:tcW w:w="3317"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2030"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3317"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321" w:hRule="atLeast"/>
        </w:trPr>
        <w:tc>
          <w:tcPr>
            <w:tcW w:w="4779"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1920"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71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80"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637"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640" w:hRule="atLeast"/>
        </w:trPr>
        <w:tc>
          <w:tcPr>
            <w:tcW w:w="1556"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1920"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1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749"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868"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680"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637"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403"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14,389.93</w:t>
            </w:r>
          </w:p>
        </w:tc>
        <w:tc>
          <w:tcPr>
            <w:tcW w:w="171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11,296.47</w:t>
            </w:r>
          </w:p>
        </w:tc>
        <w:tc>
          <w:tcPr>
            <w:tcW w:w="1749"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3,093.46</w:t>
            </w:r>
          </w:p>
        </w:tc>
        <w:tc>
          <w:tcPr>
            <w:tcW w:w="186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68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637"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11,983.41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8,901.96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3,081.46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11,983.41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8,901.96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3,081.46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2050302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中等职业教育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11,978.01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8,896.56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3,081.46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2050305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高等职业教育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824.40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824.40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824.40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824.40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549.60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549.60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21499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其他交通运输支出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2149999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其他交通运输支出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1,570.11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1,570.11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1,570.11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1,570.11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458.96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458.96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1,111.15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1,111.15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1.</w:t>
      </w:r>
      <w:r>
        <w:rPr>
          <w:rFonts w:hint="eastAsia" w:ascii="仿宋" w:hAnsi="仿宋" w:eastAsia="仿宋" w:cs="仿宋"/>
          <w:b/>
          <w:bCs/>
          <w:sz w:val="22"/>
          <w:szCs w:val="22"/>
        </w:rPr>
        <w:t>本表金额转换为万元时，因四舍五入可能存在尾差。</w:t>
      </w:r>
    </w:p>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8"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669"/>
        <w:gridCol w:w="2091"/>
        <w:gridCol w:w="847"/>
        <w:gridCol w:w="1913"/>
        <w:gridCol w:w="754"/>
        <w:gridCol w:w="1800"/>
        <w:gridCol w:w="1275"/>
        <w:gridCol w:w="320"/>
        <w:gridCol w:w="1474"/>
        <w:gridCol w:w="1646"/>
      </w:tblGrid>
      <w:tr>
        <w:tblPrEx>
          <w:tblCellMar>
            <w:top w:w="55" w:type="dxa"/>
            <w:left w:w="55" w:type="dxa"/>
            <w:bottom w:w="55" w:type="dxa"/>
            <w:right w:w="55" w:type="dxa"/>
          </w:tblCellMar>
        </w:tblPrEx>
        <w:trPr>
          <w:trHeight w:val="319" w:hRule="atLeast"/>
        </w:trPr>
        <w:tc>
          <w:tcPr>
            <w:tcW w:w="15789" w:type="dxa"/>
            <w:gridSpan w:val="10"/>
          </w:tcPr>
          <w:p>
            <w:pPr>
              <w:pStyle w:val="22"/>
              <w:widowControl w:val="0"/>
              <w:jc w:val="center"/>
              <w:rPr>
                <w:rFonts w:hint="eastAsia" w:ascii="仿宋" w:hAnsi="仿宋" w:eastAsia="仿宋" w:cs="仿宋"/>
                <w:b/>
                <w:bCs/>
                <w:sz w:val="44"/>
                <w:szCs w:val="44"/>
              </w:rPr>
            </w:pPr>
            <w:r>
              <w:rPr>
                <w:rFonts w:hint="eastAsia" w:ascii="仿宋" w:hAnsi="仿宋" w:eastAsia="仿宋" w:cs="仿宋"/>
                <w:b/>
                <w:bCs/>
                <w:sz w:val="44"/>
                <w:szCs w:val="44"/>
              </w:rPr>
              <w:t>财政拨款收入支出决算总表</w:t>
            </w:r>
          </w:p>
        </w:tc>
      </w:tr>
      <w:tr>
        <w:tblPrEx>
          <w:tblCellMar>
            <w:top w:w="55" w:type="dxa"/>
            <w:left w:w="55" w:type="dxa"/>
            <w:bottom w:w="55" w:type="dxa"/>
            <w:right w:w="55" w:type="dxa"/>
          </w:tblCellMar>
        </w:tblPrEx>
        <w:trPr>
          <w:trHeight w:val="319" w:hRule="atLeast"/>
        </w:trPr>
        <w:tc>
          <w:tcPr>
            <w:tcW w:w="5760"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554" w:type="dxa"/>
            <w:gridSpan w:val="2"/>
          </w:tcPr>
          <w:p>
            <w:pPr>
              <w:pStyle w:val="22"/>
              <w:widowControl w:val="0"/>
              <w:rPr>
                <w:rFonts w:hint="eastAsia" w:ascii="仿宋" w:hAnsi="仿宋" w:eastAsia="仿宋" w:cs="仿宋"/>
                <w:sz w:val="20"/>
              </w:rPr>
            </w:pPr>
          </w:p>
        </w:tc>
        <w:tc>
          <w:tcPr>
            <w:tcW w:w="1275" w:type="dxa"/>
          </w:tcPr>
          <w:p>
            <w:pPr>
              <w:pStyle w:val="22"/>
              <w:widowControl w:val="0"/>
              <w:rPr>
                <w:rFonts w:hint="eastAsia" w:ascii="仿宋" w:hAnsi="仿宋" w:eastAsia="仿宋" w:cs="仿宋"/>
                <w:sz w:val="20"/>
              </w:rPr>
            </w:pPr>
          </w:p>
        </w:tc>
        <w:tc>
          <w:tcPr>
            <w:tcW w:w="3440"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349"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sz w:val="22"/>
                <w:szCs w:val="22"/>
              </w:rPr>
              <w:t>江苏省无锡交通高等职业技术学校</w:t>
            </w:r>
          </w:p>
        </w:tc>
        <w:tc>
          <w:tcPr>
            <w:tcW w:w="3440"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319" w:hRule="atLeast"/>
        </w:trPr>
        <w:tc>
          <w:tcPr>
            <w:tcW w:w="5760"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10029"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59" w:hRule="atLeast"/>
        </w:trPr>
        <w:tc>
          <w:tcPr>
            <w:tcW w:w="3669"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2091"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514"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515"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635" w:hRule="atLeast"/>
        </w:trPr>
        <w:tc>
          <w:tcPr>
            <w:tcW w:w="3669"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2091"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514"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小计</w:t>
            </w:r>
          </w:p>
        </w:tc>
        <w:tc>
          <w:tcPr>
            <w:tcW w:w="159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4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64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13,193.29</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10,738.29</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10,738.29</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824.40</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824.40</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231.06</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231.06</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21" w:hRule="atLeast"/>
        </w:trPr>
        <w:tc>
          <w:tcPr>
            <w:tcW w:w="3669"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209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567" w:hRule="exact"/>
        </w:trPr>
        <w:tc>
          <w:tcPr>
            <w:tcW w:w="3669"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本年收入合计</w:t>
            </w:r>
          </w:p>
        </w:tc>
        <w:tc>
          <w:tcPr>
            <w:tcW w:w="2091"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13,193.29</w:t>
            </w:r>
          </w:p>
        </w:tc>
        <w:tc>
          <w:tcPr>
            <w:tcW w:w="3514"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18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11,805.75</w:t>
            </w:r>
          </w:p>
        </w:tc>
        <w:tc>
          <w:tcPr>
            <w:tcW w:w="159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11,805.75</w:t>
            </w:r>
          </w:p>
        </w:tc>
        <w:tc>
          <w:tcPr>
            <w:tcW w:w="1474"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18" w:hRule="atLeast"/>
        </w:trPr>
        <w:tc>
          <w:tcPr>
            <w:tcW w:w="3669"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2091"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276.81</w:t>
            </w:r>
          </w:p>
        </w:tc>
        <w:tc>
          <w:tcPr>
            <w:tcW w:w="3514"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8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1,664.35</w:t>
            </w:r>
          </w:p>
        </w:tc>
        <w:tc>
          <w:tcPr>
            <w:tcW w:w="159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1,664.35</w:t>
            </w:r>
          </w:p>
        </w:tc>
        <w:tc>
          <w:tcPr>
            <w:tcW w:w="14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18" w:hRule="atLeast"/>
        </w:trPr>
        <w:tc>
          <w:tcPr>
            <w:tcW w:w="3669"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2091"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276.81</w:t>
            </w:r>
          </w:p>
        </w:tc>
        <w:tc>
          <w:tcPr>
            <w:tcW w:w="3514"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18" w:hRule="atLeast"/>
        </w:trPr>
        <w:tc>
          <w:tcPr>
            <w:tcW w:w="3669"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2091"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18" w:hRule="atLeast"/>
        </w:trPr>
        <w:tc>
          <w:tcPr>
            <w:tcW w:w="3669"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2091"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514"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9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567" w:hRule="exact"/>
        </w:trPr>
        <w:tc>
          <w:tcPr>
            <w:tcW w:w="366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总计</w:t>
            </w:r>
          </w:p>
        </w:tc>
        <w:tc>
          <w:tcPr>
            <w:tcW w:w="2091"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13,470.10</w:t>
            </w:r>
          </w:p>
        </w:tc>
        <w:tc>
          <w:tcPr>
            <w:tcW w:w="3514"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总计</w:t>
            </w:r>
          </w:p>
        </w:tc>
        <w:tc>
          <w:tcPr>
            <w:tcW w:w="18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13,470.10</w:t>
            </w:r>
          </w:p>
        </w:tc>
        <w:tc>
          <w:tcPr>
            <w:tcW w:w="159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13,470.10</w:t>
            </w:r>
          </w:p>
        </w:tc>
        <w:tc>
          <w:tcPr>
            <w:tcW w:w="147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46"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rPr>
          <w:rFonts w:hint="eastAsia" w:ascii="仿宋" w:hAnsi="仿宋" w:eastAsia="仿宋" w:cs="仿宋"/>
          <w:b/>
          <w:bCs/>
        </w:rPr>
      </w:pPr>
      <w:r>
        <w:rPr>
          <w:rFonts w:hint="eastAsia" w:ascii="仿宋" w:hAnsi="仿宋" w:eastAsia="仿宋" w:cs="仿宋"/>
          <w:b/>
          <w:bCs/>
          <w:lang w:val="en-US" w:eastAsia="zh-CN"/>
        </w:rPr>
        <w:t>注：1.</w:t>
      </w:r>
      <w:r>
        <w:rPr>
          <w:rFonts w:hint="eastAsia" w:ascii="仿宋" w:hAnsi="仿宋" w:eastAsia="仿宋" w:cs="仿宋"/>
          <w:b/>
          <w:bCs/>
        </w:rPr>
        <w:t>本表金额转换为万元时，因四舍五入可能存在尾差。</w:t>
      </w:r>
    </w:p>
    <w:p>
      <w:pPr>
        <w:rPr>
          <w:rFonts w:hint="eastAsia" w:ascii="仿宋" w:hAnsi="仿宋" w:eastAsia="仿宋" w:cs="仿宋"/>
          <w:b/>
          <w:bCs/>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2045"/>
        <w:gridCol w:w="4137"/>
        <w:gridCol w:w="3171"/>
        <w:gridCol w:w="2778"/>
        <w:gridCol w:w="3085"/>
      </w:tblGrid>
      <w:tr>
        <w:tblPrEx>
          <w:tblCellMar>
            <w:top w:w="55" w:type="dxa"/>
            <w:left w:w="55" w:type="dxa"/>
            <w:bottom w:w="55" w:type="dxa"/>
            <w:right w:w="55" w:type="dxa"/>
          </w:tblCellMar>
        </w:tblPrEx>
        <w:trPr>
          <w:trHeight w:val="321" w:hRule="atLeast"/>
        </w:trPr>
        <w:tc>
          <w:tcPr>
            <w:tcW w:w="15216" w:type="dxa"/>
            <w:gridSpan w:val="5"/>
            <w:vAlign w:val="center"/>
          </w:tcPr>
          <w:p>
            <w:pPr>
              <w:pStyle w:val="22"/>
              <w:widowControl w:val="0"/>
              <w:jc w:val="center"/>
              <w:rPr>
                <w:rFonts w:hint="eastAsia" w:ascii="仿宋" w:hAnsi="仿宋" w:eastAsia="仿宋" w:cs="仿宋"/>
                <w:b/>
                <w:bCs/>
                <w:sz w:val="44"/>
                <w:szCs w:val="44"/>
              </w:rPr>
            </w:pPr>
            <w:r>
              <w:rPr>
                <w:rFonts w:hint="eastAsia" w:ascii="仿宋" w:hAnsi="仿宋" w:eastAsia="仿宋" w:cs="仿宋"/>
                <w:b/>
                <w:bCs/>
                <w:sz w:val="44"/>
                <w:szCs w:val="44"/>
              </w:rPr>
              <w:t>财政拨款支出决算表（功能科目）</w:t>
            </w:r>
          </w:p>
        </w:tc>
      </w:tr>
      <w:tr>
        <w:tblPrEx>
          <w:tblCellMar>
            <w:top w:w="55" w:type="dxa"/>
            <w:left w:w="55" w:type="dxa"/>
            <w:bottom w:w="55" w:type="dxa"/>
            <w:right w:w="55" w:type="dxa"/>
          </w:tblCellMar>
        </w:tblPrEx>
        <w:trPr>
          <w:trHeight w:val="321" w:hRule="atLeast"/>
        </w:trPr>
        <w:tc>
          <w:tcPr>
            <w:tcW w:w="6182" w:type="dxa"/>
            <w:gridSpan w:val="2"/>
          </w:tcPr>
          <w:p>
            <w:pPr>
              <w:pStyle w:val="22"/>
              <w:widowControl w:val="0"/>
              <w:rPr>
                <w:rFonts w:hint="eastAsia" w:ascii="仿宋" w:hAnsi="仿宋" w:eastAsia="仿宋" w:cs="仿宋"/>
                <w:sz w:val="20"/>
              </w:rPr>
            </w:pPr>
          </w:p>
        </w:tc>
        <w:tc>
          <w:tcPr>
            <w:tcW w:w="3171" w:type="dxa"/>
          </w:tcPr>
          <w:p>
            <w:pPr>
              <w:pStyle w:val="22"/>
              <w:widowControl w:val="0"/>
              <w:rPr>
                <w:rFonts w:hint="eastAsia" w:ascii="仿宋" w:hAnsi="仿宋" w:eastAsia="仿宋" w:cs="仿宋"/>
                <w:sz w:val="27"/>
              </w:rPr>
            </w:pPr>
          </w:p>
        </w:tc>
        <w:tc>
          <w:tcPr>
            <w:tcW w:w="586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182"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3171"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08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182"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71"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08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2045"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功能分类科目编码</w:t>
            </w:r>
          </w:p>
        </w:tc>
        <w:tc>
          <w:tcPr>
            <w:tcW w:w="4137"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71"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08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182"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71"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08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182"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171"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11,805.75</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8,752.29</w:t>
            </w:r>
          </w:p>
        </w:tc>
        <w:tc>
          <w:tcPr>
            <w:tcW w:w="308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3,053.46</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10,738.29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7,696.83</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3,041.46</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10,738.29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7,696.83</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3,041.46</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中等职业教育</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10,732.89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7,691.43</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3,041.46</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2050305</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高等职业教育</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824.40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824.40</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824.40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824.40</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549.60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549.60</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274.80</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交通运输支出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21499</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2149999</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其他交通运输支出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231.06</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231.06</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2045"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13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3171"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231.06</w:t>
            </w:r>
          </w:p>
        </w:tc>
        <w:tc>
          <w:tcPr>
            <w:tcW w:w="308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tabs>
          <w:tab w:val="left" w:pos="220"/>
        </w:tabs>
        <w:suppressAutoHyphens/>
        <w:bidi w:val="0"/>
        <w:spacing w:before="0" w:after="0"/>
        <w:ind w:left="220" w:leftChars="100" w:right="0" w:firstLine="0" w:firstLineChars="0"/>
        <w:jc w:val="both"/>
        <w:rPr>
          <w:rFonts w:hint="eastAsia" w:ascii="仿宋" w:hAnsi="仿宋" w:eastAsia="仿宋" w:cs="仿宋"/>
          <w:b/>
          <w:bCs/>
        </w:rPr>
      </w:pPr>
      <w:r>
        <w:rPr>
          <w:rFonts w:hint="eastAsia" w:ascii="仿宋" w:hAnsi="仿宋" w:eastAsia="仿宋" w:cs="仿宋"/>
          <w:b/>
          <w:bCs/>
        </w:rPr>
        <w:t>注：1.本表反映部门本年度按功能分类财政拨款实际支出情况。财政拨款指一般公共预算财政拨款、政府性基金预算财政拨款和国有资本经营预</w:t>
      </w:r>
    </w:p>
    <w:p>
      <w:pPr>
        <w:widowControl w:val="0"/>
        <w:tabs>
          <w:tab w:val="left" w:pos="55"/>
        </w:tabs>
        <w:suppressAutoHyphens/>
        <w:bidi w:val="0"/>
        <w:spacing w:before="0" w:after="0"/>
        <w:ind w:right="0" w:firstLine="663" w:firstLineChars="300"/>
        <w:jc w:val="both"/>
        <w:rPr>
          <w:rFonts w:hint="eastAsia" w:ascii="仿宋" w:hAnsi="仿宋" w:eastAsia="仿宋" w:cs="仿宋"/>
          <w:b/>
          <w:bCs/>
        </w:rPr>
      </w:pPr>
      <w:r>
        <w:rPr>
          <w:rFonts w:hint="eastAsia" w:ascii="仿宋" w:hAnsi="仿宋" w:eastAsia="仿宋" w:cs="仿宋"/>
          <w:b/>
          <w:bCs/>
        </w:rPr>
        <w:t>算财政拨款。</w:t>
      </w:r>
    </w:p>
    <w:p>
      <w:pPr>
        <w:widowControl w:val="0"/>
        <w:numPr>
          <w:ilvl w:val="0"/>
          <w:numId w:val="4"/>
        </w:numPr>
        <w:tabs>
          <w:tab w:val="left" w:pos="55"/>
          <w:tab w:val="clear" w:pos="312"/>
        </w:tabs>
        <w:suppressAutoHyphens/>
        <w:bidi w:val="0"/>
        <w:spacing w:before="0" w:after="0"/>
        <w:ind w:left="660" w:leftChars="0" w:right="0" w:firstLine="0" w:firstLineChars="0"/>
        <w:jc w:val="both"/>
        <w:rPr>
          <w:rFonts w:hint="eastAsia" w:ascii="仿宋" w:hAnsi="仿宋" w:eastAsia="仿宋" w:cs="仿宋"/>
          <w:b/>
          <w:bCs/>
        </w:rPr>
      </w:pPr>
      <w:r>
        <w:rPr>
          <w:rFonts w:hint="eastAsia" w:ascii="仿宋" w:hAnsi="仿宋" w:eastAsia="仿宋" w:cs="仿宋"/>
          <w:b/>
          <w:bCs/>
        </w:rPr>
        <w:t>本表金额转换为万元时，因四舍五入可能存在尾差。</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center"/>
              <w:rPr>
                <w:rFonts w:hint="eastAsia" w:ascii="仿宋" w:hAnsi="仿宋" w:eastAsia="仿宋" w:cs="仿宋"/>
                <w:b/>
                <w:bCs/>
                <w:sz w:val="44"/>
                <w:szCs w:val="44"/>
              </w:rPr>
            </w:pPr>
            <w:r>
              <w:rPr>
                <w:rFonts w:hint="eastAsia" w:ascii="仿宋" w:hAnsi="仿宋" w:eastAsia="仿宋" w:cs="仿宋"/>
                <w:b/>
                <w:bCs/>
                <w:sz w:val="44"/>
                <w:szCs w:val="44"/>
              </w:rPr>
              <w:t>财政拨款基本支出决算表（经济科目）</w:t>
            </w:r>
          </w:p>
        </w:tc>
      </w:tr>
      <w:tr>
        <w:tblPrEx>
          <w:tblCellMar>
            <w:top w:w="55" w:type="dxa"/>
            <w:left w:w="55" w:type="dxa"/>
            <w:bottom w:w="55" w:type="dxa"/>
            <w:right w:w="55" w:type="dxa"/>
          </w:tblCellMar>
        </w:tblPrEx>
        <w:trPr>
          <w:trHeight w:val="319" w:hRule="atLeast"/>
        </w:trPr>
        <w:tc>
          <w:tcPr>
            <w:tcW w:w="4673"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sz w:val="22"/>
                <w:szCs w:val="22"/>
              </w:rPr>
              <w:t>江苏省无锡交通高等职业技术学校</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8,752.29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7,216.95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1,535.34</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6,689.42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6,689.42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1,496.44</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54.58</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102.01</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159.72</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49.89</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196.84</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42.07</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244.79</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116.99</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24.98</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436.07</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38.91</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38.91</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tabs>
          <w:tab w:val="left" w:pos="660"/>
        </w:tabs>
        <w:suppressAutoHyphens/>
        <w:bidi w:val="0"/>
        <w:spacing w:before="25" w:after="0" w:line="290" w:lineRule="auto"/>
        <w:ind w:left="220" w:leftChars="0" w:right="397" w:hanging="460" w:firstLineChars="0"/>
        <w:jc w:val="left"/>
        <w:rPr>
          <w:rFonts w:hint="eastAsia" w:ascii="仿宋" w:hAnsi="仿宋" w:eastAsia="仿宋" w:cs="仿宋"/>
          <w:b/>
          <w:bCs/>
          <w:sz w:val="22"/>
          <w:szCs w:val="22"/>
        </w:rPr>
      </w:pPr>
      <w:r>
        <w:rPr>
          <w:rFonts w:hint="eastAsia" w:ascii="仿宋" w:hAnsi="仿宋" w:eastAsia="仿宋" w:cs="仿宋"/>
          <w:b/>
          <w:bCs/>
          <w:sz w:val="22"/>
          <w:szCs w:val="22"/>
        </w:rPr>
        <w:t>注：1.本表反映部门本年度按经济分类财政拨款基本支出明细情况。财政拨款指一般公共预算财政拨款、政府性基金预算财政拨款和国有资本经营预算财政拨款。</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255" w:lineRule="exact"/>
        <w:ind w:left="220" w:leftChars="0" w:firstLine="0" w:firstLineChars="0"/>
        <w:textAlignment w:val="auto"/>
        <w:rPr>
          <w:rFonts w:hint="eastAsia" w:ascii="仿宋" w:hAnsi="仿宋" w:eastAsia="仿宋" w:cs="仿宋"/>
          <w:b/>
          <w:bCs/>
          <w:sz w:val="22"/>
          <w:szCs w:val="22"/>
        </w:rPr>
      </w:pPr>
      <w:r>
        <w:rPr>
          <w:rFonts w:hint="eastAsia" w:ascii="仿宋" w:hAnsi="仿宋" w:eastAsia="仿宋" w:cs="仿宋"/>
          <w:b/>
          <w:bCs/>
          <w:sz w:val="22"/>
          <w:szCs w:val="22"/>
        </w:rPr>
        <w:t>本表金额转换为万元时，因四舍五入可能存在尾差。</w:t>
      </w:r>
    </w:p>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1"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1040" w:type="dxa"/>
        <w:tblInd w:w="-240" w:type="dxa"/>
        <w:tblLayout w:type="fixed"/>
        <w:tblCellMar>
          <w:top w:w="55" w:type="dxa"/>
          <w:left w:w="55" w:type="dxa"/>
          <w:bottom w:w="55" w:type="dxa"/>
          <w:right w:w="55" w:type="dxa"/>
        </w:tblCellMar>
      </w:tblPr>
      <w:tblGrid>
        <w:gridCol w:w="1397"/>
        <w:gridCol w:w="3420"/>
        <w:gridCol w:w="2537"/>
        <w:gridCol w:w="1800"/>
        <w:gridCol w:w="1886"/>
      </w:tblGrid>
      <w:tr>
        <w:tblPrEx>
          <w:tblCellMar>
            <w:top w:w="55" w:type="dxa"/>
            <w:left w:w="55" w:type="dxa"/>
            <w:bottom w:w="55" w:type="dxa"/>
            <w:right w:w="55" w:type="dxa"/>
          </w:tblCellMar>
        </w:tblPrEx>
        <w:trPr>
          <w:trHeight w:val="560" w:hRule="atLeast"/>
        </w:trPr>
        <w:tc>
          <w:tcPr>
            <w:tcW w:w="11040" w:type="dxa"/>
            <w:gridSpan w:val="5"/>
            <w:vAlign w:val="center"/>
          </w:tcPr>
          <w:p>
            <w:pPr>
              <w:pStyle w:val="22"/>
              <w:widowControl w:val="0"/>
              <w:jc w:val="center"/>
              <w:rPr>
                <w:rFonts w:hint="eastAsia" w:ascii="仿宋" w:hAnsi="仿宋" w:eastAsia="仿宋" w:cs="仿宋"/>
                <w:b/>
                <w:bCs/>
                <w:sz w:val="44"/>
                <w:szCs w:val="44"/>
              </w:rPr>
            </w:pPr>
            <w:r>
              <w:rPr>
                <w:rFonts w:hint="eastAsia" w:ascii="仿宋" w:hAnsi="仿宋" w:eastAsia="仿宋" w:cs="仿宋"/>
                <w:b/>
                <w:bCs/>
                <w:sz w:val="44"/>
                <w:szCs w:val="44"/>
              </w:rPr>
              <w:t>一般公共预算支出决算表（功能科目）</w:t>
            </w:r>
          </w:p>
        </w:tc>
      </w:tr>
      <w:tr>
        <w:tblPrEx>
          <w:tblCellMar>
            <w:top w:w="55" w:type="dxa"/>
            <w:left w:w="55" w:type="dxa"/>
            <w:bottom w:w="55" w:type="dxa"/>
            <w:right w:w="55" w:type="dxa"/>
          </w:tblCellMar>
        </w:tblPrEx>
        <w:trPr>
          <w:trHeight w:val="243" w:hRule="atLeast"/>
        </w:trPr>
        <w:tc>
          <w:tcPr>
            <w:tcW w:w="4817" w:type="dxa"/>
            <w:gridSpan w:val="2"/>
          </w:tcPr>
          <w:p>
            <w:pPr>
              <w:pStyle w:val="22"/>
              <w:widowControl w:val="0"/>
              <w:rPr>
                <w:rFonts w:hint="eastAsia" w:ascii="仿宋" w:hAnsi="仿宋" w:eastAsia="仿宋" w:cs="仿宋"/>
                <w:sz w:val="20"/>
              </w:rPr>
            </w:pPr>
          </w:p>
        </w:tc>
        <w:tc>
          <w:tcPr>
            <w:tcW w:w="2537" w:type="dxa"/>
          </w:tcPr>
          <w:p>
            <w:pPr>
              <w:pStyle w:val="22"/>
              <w:widowControl w:val="0"/>
              <w:rPr>
                <w:rFonts w:hint="eastAsia" w:ascii="仿宋" w:hAnsi="仿宋" w:eastAsia="仿宋" w:cs="仿宋"/>
                <w:sz w:val="20"/>
              </w:rPr>
            </w:pPr>
          </w:p>
        </w:tc>
        <w:tc>
          <w:tcPr>
            <w:tcW w:w="1800" w:type="dxa"/>
          </w:tcPr>
          <w:p>
            <w:pPr>
              <w:pStyle w:val="22"/>
              <w:widowControl w:val="0"/>
              <w:rPr>
                <w:rFonts w:hint="eastAsia" w:ascii="仿宋" w:hAnsi="仿宋" w:eastAsia="仿宋" w:cs="仿宋"/>
                <w:sz w:val="20"/>
              </w:rPr>
            </w:pPr>
          </w:p>
        </w:tc>
        <w:tc>
          <w:tcPr>
            <w:tcW w:w="188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191" w:hRule="atLeast"/>
        </w:trPr>
        <w:tc>
          <w:tcPr>
            <w:tcW w:w="7354"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3686"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20" w:hRule="atLeast"/>
        </w:trPr>
        <w:tc>
          <w:tcPr>
            <w:tcW w:w="4817"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37"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800"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86"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89" w:hRule="atLeast"/>
        </w:trPr>
        <w:tc>
          <w:tcPr>
            <w:tcW w:w="1397"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3420"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37"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800"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886"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4817"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37"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800"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86"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361" w:hRule="exact"/>
        </w:trPr>
        <w:tc>
          <w:tcPr>
            <w:tcW w:w="4817"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2537"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11,805.75</w:t>
            </w:r>
          </w:p>
        </w:tc>
        <w:tc>
          <w:tcPr>
            <w:tcW w:w="1800"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8,752.29</w:t>
            </w:r>
          </w:p>
        </w:tc>
        <w:tc>
          <w:tcPr>
            <w:tcW w:w="1886"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3,053.46</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205</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教育支出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10,738.29</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7,696.83</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3,041.46</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20503</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职业教育</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10,738.29</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7,696.83</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3,041.46</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2050302</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中等职业教育</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10,732.89</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7,691.43</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3,041.46</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2050305</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高等职业教育</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824.40</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824.40</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20805</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行政事业单位养老支出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824.40</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824.40</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2080505</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549.60</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549.60</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2080506</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机关事业单位职业年金缴费支出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274.80</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274.80</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214</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交通运输支出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21499</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其他交通运输支出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2149999</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其他交通运输支出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22102</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住房改革支出</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21" w:hRule="atLeast"/>
        </w:trPr>
        <w:tc>
          <w:tcPr>
            <w:tcW w:w="139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2210202</w:t>
            </w:r>
          </w:p>
        </w:tc>
        <w:tc>
          <w:tcPr>
            <w:tcW w:w="342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提租补贴</w:t>
            </w:r>
          </w:p>
        </w:tc>
        <w:tc>
          <w:tcPr>
            <w:tcW w:w="2537"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800"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1886"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tabs>
          <w:tab w:val="left" w:pos="0"/>
        </w:tabs>
        <w:spacing w:before="25" w:after="0"/>
        <w:ind w:left="-220" w:leftChars="-100" w:firstLine="0" w:firstLineChars="0"/>
        <w:rPr>
          <w:rFonts w:hint="eastAsia" w:ascii="仿宋" w:hAnsi="仿宋" w:eastAsia="仿宋" w:cs="仿宋"/>
          <w:b/>
          <w:bCs/>
          <w:sz w:val="22"/>
          <w:szCs w:val="22"/>
        </w:rPr>
      </w:pPr>
      <w:r>
        <w:rPr>
          <w:rFonts w:hint="eastAsia" w:ascii="仿宋" w:hAnsi="仿宋" w:eastAsia="仿宋" w:cs="仿宋"/>
          <w:b/>
          <w:bCs/>
          <w:sz w:val="22"/>
          <w:szCs w:val="22"/>
        </w:rPr>
        <w:t>注：1.本表反映部门本年度按功能分类一般公共预算财政拨款实际支出情况。</w:t>
      </w:r>
    </w:p>
    <w:p>
      <w:pPr>
        <w:numPr>
          <w:ilvl w:val="0"/>
          <w:numId w:val="6"/>
        </w:numPr>
        <w:tabs>
          <w:tab w:val="left" w:pos="0"/>
          <w:tab w:val="clear" w:pos="312"/>
        </w:tabs>
        <w:spacing w:before="25" w:after="0"/>
        <w:ind w:left="20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本表金额转换为万元时，因四舍五入可能存在尾差。</w:t>
      </w:r>
    </w:p>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114"/>
        <w:gridCol w:w="2777"/>
        <w:gridCol w:w="644"/>
        <w:gridCol w:w="1996"/>
        <w:gridCol w:w="2246"/>
        <w:gridCol w:w="2177"/>
      </w:tblGrid>
      <w:tr>
        <w:tblPrEx>
          <w:tblCellMar>
            <w:top w:w="55" w:type="dxa"/>
            <w:left w:w="55" w:type="dxa"/>
            <w:bottom w:w="55" w:type="dxa"/>
            <w:right w:w="55" w:type="dxa"/>
          </w:tblCellMar>
        </w:tblPrEx>
        <w:trPr>
          <w:trHeight w:val="319" w:hRule="atLeast"/>
        </w:trPr>
        <w:tc>
          <w:tcPr>
            <w:tcW w:w="10954" w:type="dxa"/>
            <w:gridSpan w:val="6"/>
          </w:tcPr>
          <w:p>
            <w:pPr>
              <w:pStyle w:val="22"/>
              <w:widowControl w:val="0"/>
              <w:jc w:val="center"/>
              <w:rPr>
                <w:rFonts w:hint="eastAsia" w:ascii="仿宋" w:hAnsi="仿宋" w:eastAsia="仿宋" w:cs="仿宋"/>
                <w:b/>
                <w:bCs/>
                <w:sz w:val="44"/>
                <w:szCs w:val="44"/>
              </w:rPr>
            </w:pPr>
            <w:r>
              <w:rPr>
                <w:rFonts w:hint="eastAsia" w:ascii="仿宋" w:hAnsi="仿宋" w:eastAsia="仿宋" w:cs="仿宋"/>
                <w:b/>
                <w:bCs/>
                <w:sz w:val="44"/>
                <w:szCs w:val="44"/>
              </w:rPr>
              <w:t>一般公共预算基本支出决算表（经济科目）</w:t>
            </w:r>
          </w:p>
        </w:tc>
      </w:tr>
      <w:tr>
        <w:tblPrEx>
          <w:tblCellMar>
            <w:top w:w="55" w:type="dxa"/>
            <w:left w:w="55" w:type="dxa"/>
            <w:bottom w:w="55" w:type="dxa"/>
            <w:right w:w="55" w:type="dxa"/>
          </w:tblCellMar>
        </w:tblPrEx>
        <w:trPr>
          <w:trHeight w:val="189" w:hRule="atLeast"/>
        </w:trPr>
        <w:tc>
          <w:tcPr>
            <w:tcW w:w="3891" w:type="dxa"/>
            <w:gridSpan w:val="2"/>
          </w:tcPr>
          <w:p>
            <w:pPr>
              <w:pStyle w:val="22"/>
              <w:widowControl w:val="0"/>
              <w:rPr>
                <w:rFonts w:hint="eastAsia" w:ascii="仿宋" w:hAnsi="仿宋" w:eastAsia="仿宋" w:cs="仿宋"/>
                <w:sz w:val="20"/>
              </w:rPr>
            </w:pPr>
          </w:p>
        </w:tc>
        <w:tc>
          <w:tcPr>
            <w:tcW w:w="644" w:type="dxa"/>
          </w:tcPr>
          <w:p>
            <w:pPr>
              <w:pStyle w:val="22"/>
              <w:widowControl w:val="0"/>
              <w:rPr>
                <w:rFonts w:hint="eastAsia" w:ascii="仿宋" w:hAnsi="仿宋" w:eastAsia="仿宋" w:cs="仿宋"/>
                <w:sz w:val="20"/>
              </w:rPr>
            </w:pPr>
          </w:p>
        </w:tc>
        <w:tc>
          <w:tcPr>
            <w:tcW w:w="4242" w:type="dxa"/>
            <w:gridSpan w:val="2"/>
          </w:tcPr>
          <w:p>
            <w:pPr>
              <w:pStyle w:val="22"/>
              <w:widowControl w:val="0"/>
              <w:rPr>
                <w:rFonts w:hint="eastAsia" w:ascii="仿宋" w:hAnsi="仿宋" w:eastAsia="仿宋" w:cs="仿宋"/>
                <w:sz w:val="20"/>
              </w:rPr>
            </w:pPr>
          </w:p>
        </w:tc>
        <w:tc>
          <w:tcPr>
            <w:tcW w:w="2177"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公开08表</w:t>
            </w:r>
          </w:p>
        </w:tc>
      </w:tr>
      <w:tr>
        <w:tblPrEx>
          <w:tblCellMar>
            <w:top w:w="55" w:type="dxa"/>
            <w:left w:w="55" w:type="dxa"/>
            <w:bottom w:w="55" w:type="dxa"/>
            <w:right w:w="55" w:type="dxa"/>
          </w:tblCellMar>
        </w:tblPrEx>
        <w:trPr>
          <w:trHeight w:val="138" w:hRule="atLeast"/>
        </w:trPr>
        <w:tc>
          <w:tcPr>
            <w:tcW w:w="8777" w:type="dxa"/>
            <w:gridSpan w:val="5"/>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2177"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3891"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7063" w:type="dxa"/>
            <w:gridSpan w:val="4"/>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1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277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4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24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17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3891"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40"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8,752.29</w:t>
            </w:r>
          </w:p>
        </w:tc>
        <w:tc>
          <w:tcPr>
            <w:tcW w:w="224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7,216.95</w:t>
            </w:r>
          </w:p>
        </w:tc>
        <w:tc>
          <w:tcPr>
            <w:tcW w:w="217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1,535.34</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工资福利支出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6,689.42</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6,689.42</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1,231.13</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1,231.13</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231.06</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71.69</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71.69</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3,029.79</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3,029.79</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549.60</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549.60</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274.80</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274.80</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207.02</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207.02</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48.93</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48.93</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1,045.41</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1,045.41</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1,496.44</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1,496.44</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15.81</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54.58</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54.58</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102.01</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102.01</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159.72</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159.72</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49.89</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49.89</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30208</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196.84</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196.84</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42.07</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42.07</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30225</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22.16</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244.79</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244.79</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116.99</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116.99</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24.98</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24.98</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436.07</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436.07</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527.52</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527.52</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44.64</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44.64</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308.69</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308.69</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14.27</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14.27</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30306</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37.94</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37.94</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121.97</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121.97</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30310</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30311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债务利息及费用支出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30701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30702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30703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30704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资本性支出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38.91</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38.91</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38.91</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38.91</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31005</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31006</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31007</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31008</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31009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31010</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31019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31021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31022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对企业补助</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31201</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31203</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31204</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31205</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31299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39906</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39907</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39908</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1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27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640"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4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1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spacing w:before="25" w:after="0"/>
        <w:ind w:left="-220" w:leftChars="-100" w:firstLine="0" w:firstLineChars="0"/>
        <w:rPr>
          <w:rFonts w:hint="eastAsia" w:ascii="仿宋" w:hAnsi="仿宋" w:eastAsia="仿宋" w:cs="仿宋"/>
          <w:b/>
          <w:bCs/>
          <w:sz w:val="22"/>
          <w:szCs w:val="22"/>
        </w:rPr>
      </w:pPr>
      <w:r>
        <w:rPr>
          <w:rFonts w:hint="eastAsia" w:ascii="仿宋" w:hAnsi="仿宋" w:eastAsia="仿宋" w:cs="仿宋"/>
          <w:b/>
          <w:bCs/>
          <w:sz w:val="22"/>
          <w:szCs w:val="22"/>
        </w:rPr>
        <w:t>注：1. 本表反映部门本年度按经济分类一般公共预算财政拨款基本支出明细情况。</w:t>
      </w:r>
    </w:p>
    <w:p>
      <w:pPr>
        <w:numPr>
          <w:ilvl w:val="0"/>
          <w:numId w:val="7"/>
        </w:numPr>
        <w:spacing w:before="25" w:after="0"/>
        <w:ind w:left="20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本表金额转换为万元时，因四舍五入可能存在尾差。</w:t>
      </w:r>
    </w:p>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center"/>
              <w:rPr>
                <w:rFonts w:hint="eastAsia" w:ascii="仿宋" w:hAnsi="仿宋" w:eastAsia="仿宋" w:cs="仿宋"/>
                <w:b/>
                <w:bCs/>
                <w:sz w:val="44"/>
                <w:szCs w:val="44"/>
              </w:rPr>
            </w:pPr>
            <w:r>
              <w:rPr>
                <w:rFonts w:hint="eastAsia" w:ascii="仿宋" w:hAnsi="仿宋" w:eastAsia="仿宋" w:cs="仿宋"/>
                <w:b/>
                <w:bCs/>
                <w:sz w:val="44"/>
                <w:szCs w:val="44"/>
              </w:rPr>
              <w:t>一般公共预算“三公”经费、会议费、培训费支出决算表</w:t>
            </w:r>
          </w:p>
        </w:tc>
      </w:tr>
      <w:tr>
        <w:tblPrEx>
          <w:tblCellMar>
            <w:top w:w="55" w:type="dxa"/>
            <w:left w:w="55" w:type="dxa"/>
            <w:bottom w:w="55" w:type="dxa"/>
            <w:right w:w="55" w:type="dxa"/>
          </w:tblCellMar>
        </w:tblPrEx>
        <w:trPr>
          <w:trHeight w:val="207" w:hRule="atLeast"/>
        </w:trPr>
        <w:tc>
          <w:tcPr>
            <w:tcW w:w="12069" w:type="dxa"/>
            <w:gridSpan w:val="6"/>
          </w:tcPr>
          <w:p>
            <w:pPr>
              <w:pStyle w:val="22"/>
              <w:widowControl w:val="0"/>
              <w:rPr>
                <w:rFonts w:hint="eastAsia" w:ascii="仿宋" w:hAnsi="仿宋" w:eastAsia="仿宋" w:cs="仿宋"/>
                <w:sz w:val="20"/>
              </w:rPr>
            </w:pPr>
          </w:p>
        </w:tc>
        <w:tc>
          <w:tcPr>
            <w:tcW w:w="3840" w:type="dxa"/>
            <w:gridSpan w:val="2"/>
            <w:vAlign w:val="center"/>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12069" w:type="dxa"/>
            <w:gridSpan w:val="6"/>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3840" w:type="dxa"/>
            <w:gridSpan w:val="2"/>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9" w:hRule="atLeast"/>
        </w:trPr>
        <w:tc>
          <w:tcPr>
            <w:tcW w:w="12069" w:type="dxa"/>
            <w:gridSpan w:val="6"/>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2057"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2471"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公务用车购置及运行维护费</w:t>
            </w:r>
          </w:p>
        </w:tc>
        <w:tc>
          <w:tcPr>
            <w:tcW w:w="185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783" w:type="dxa"/>
            <w:vMerge w:val="continue"/>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45" w:hRule="exact"/>
        </w:trPr>
        <w:tc>
          <w:tcPr>
            <w:tcW w:w="2471"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233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203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p>
          <w:p>
            <w:pPr>
              <w:pStyle w:val="22"/>
              <w:widowControl w:val="0"/>
              <w:jc w:val="center"/>
              <w:rPr>
                <w:rFonts w:hint="eastAsia" w:ascii="仿宋" w:hAnsi="仿宋" w:eastAsia="仿宋" w:cs="仿宋"/>
              </w:rPr>
            </w:pPr>
            <w:r>
              <w:rPr>
                <w:rFonts w:hint="eastAsia" w:ascii="仿宋" w:hAnsi="仿宋" w:eastAsia="仿宋" w:cs="仿宋"/>
              </w:rPr>
              <w:t>维护费</w:t>
            </w:r>
          </w:p>
        </w:tc>
        <w:tc>
          <w:tcPr>
            <w:tcW w:w="185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2057"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783"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8.59</w:t>
            </w:r>
          </w:p>
        </w:tc>
        <w:tc>
          <w:tcPr>
            <w:tcW w:w="23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c>
          <w:tcPr>
            <w:tcW w:w="20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w:t>
            </w:r>
          </w:p>
        </w:tc>
        <w:tc>
          <w:tcPr>
            <w:tcW w:w="169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w:t>
            </w:r>
          </w:p>
        </w:tc>
        <w:tc>
          <w:tcPr>
            <w:tcW w:w="185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c>
          <w:tcPr>
            <w:tcW w:w="178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r>
    </w:tbl>
    <w:p>
      <w:pPr>
        <w:spacing w:before="30" w:after="33"/>
        <w:ind w:left="376" w:firstLine="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2069" w:type="dxa"/>
        <w:tblInd w:w="-209" w:type="dxa"/>
        <w:tblLayout w:type="fixed"/>
        <w:tblCellMar>
          <w:top w:w="55" w:type="dxa"/>
          <w:left w:w="55" w:type="dxa"/>
          <w:bottom w:w="55" w:type="dxa"/>
          <w:right w:w="55" w:type="dxa"/>
        </w:tblCellMar>
      </w:tblPr>
      <w:tblGrid>
        <w:gridCol w:w="4299"/>
        <w:gridCol w:w="1976"/>
        <w:gridCol w:w="3908"/>
        <w:gridCol w:w="1886"/>
      </w:tblGrid>
      <w:tr>
        <w:tblPrEx>
          <w:tblCellMar>
            <w:top w:w="55" w:type="dxa"/>
            <w:left w:w="55" w:type="dxa"/>
            <w:bottom w:w="55" w:type="dxa"/>
            <w:right w:w="55" w:type="dxa"/>
          </w:tblCellMar>
        </w:tblPrEx>
        <w:trPr>
          <w:cantSplit/>
          <w:trHeight w:val="214" w:hRule="atLeast"/>
        </w:trPr>
        <w:tc>
          <w:tcPr>
            <w:tcW w:w="4299"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
            </w:r>
            <w:r>
              <w:rPr>
                <w:rFonts w:ascii="仿宋" w:hAnsi="仿宋" w:cs="仿宋" w:eastAsia="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blPrEx>
          <w:tblCellMar>
            <w:top w:w="55" w:type="dxa"/>
            <w:left w:w="55" w:type="dxa"/>
            <w:bottom w:w="55" w:type="dxa"/>
            <w:right w:w="55" w:type="dxa"/>
          </w:tblCellMar>
        </w:tblPrEx>
        <w:trPr>
          <w:cantSplit/>
          <w:trHeight w:val="190" w:hRule="atLeast"/>
        </w:trPr>
        <w:tc>
          <w:tcPr>
            <w:tcW w:w="4299" w:type="dxa"/>
            <w:tcBorders>
              <w:top w:val="single" w:color="auto" w:sz="4" w:space="0"/>
              <w:left w:val="single" w:color="auto"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299" w:type="dxa"/>
            <w:tcBorders>
              <w:top w:val="single" w:color="auto" w:sz="4" w:space="0"/>
              <w:left w:val="single" w:color="auto"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w:t>
            </w:r>
          </w:p>
        </w:tc>
      </w:tr>
      <w:tr>
        <w:tblPrEx>
          <w:tblCellMar>
            <w:top w:w="55" w:type="dxa"/>
            <w:left w:w="55" w:type="dxa"/>
            <w:bottom w:w="55" w:type="dxa"/>
            <w:right w:w="55" w:type="dxa"/>
          </w:tblCellMar>
        </w:tblPrEx>
        <w:trPr>
          <w:cantSplit/>
          <w:trHeight w:val="190" w:hRule="atLeast"/>
        </w:trPr>
        <w:tc>
          <w:tcPr>
            <w:tcW w:w="4299" w:type="dxa"/>
            <w:tcBorders>
              <w:top w:val="single" w:color="auto" w:sz="4" w:space="0"/>
              <w:left w:val="single" w:color="auto"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w:t>
            </w:r>
          </w:p>
        </w:tc>
        <w:tc>
          <w:tcPr>
            <w:tcW w:w="3908" w:type="dxa"/>
            <w:tcBorders>
              <w:top w:val="single" w:color="auto" w:sz="4" w:space="0"/>
              <w:left w:val="single" w:color="000000"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w:t>
            </w:r>
          </w:p>
        </w:tc>
      </w:tr>
      <w:tr>
        <w:tblPrEx>
          <w:tblCellMar>
            <w:top w:w="55" w:type="dxa"/>
            <w:left w:w="55" w:type="dxa"/>
            <w:bottom w:w="55" w:type="dxa"/>
            <w:right w:w="55" w:type="dxa"/>
          </w:tblCellMar>
        </w:tblPrEx>
        <w:trPr>
          <w:cantSplit/>
          <w:trHeight w:val="190" w:hRule="atLeast"/>
        </w:trPr>
        <w:tc>
          <w:tcPr>
            <w:tcW w:w="4299" w:type="dxa"/>
            <w:tcBorders>
              <w:top w:val="single" w:color="auto" w:sz="4" w:space="0"/>
              <w:left w:val="single" w:color="auto"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299" w:type="dxa"/>
            <w:tcBorders>
              <w:top w:val="single" w:color="auto" w:sz="4" w:space="0"/>
              <w:left w:val="single" w:color="auto"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r>
      <w:tr>
        <w:tblPrEx>
          <w:tblCellMar>
            <w:top w:w="55" w:type="dxa"/>
            <w:left w:w="55" w:type="dxa"/>
            <w:bottom w:w="55" w:type="dxa"/>
            <w:right w:w="55" w:type="dxa"/>
          </w:tblCellMar>
        </w:tblPrEx>
        <w:trPr>
          <w:cantSplit/>
          <w:trHeight w:val="190" w:hRule="atLeast"/>
        </w:trPr>
        <w:tc>
          <w:tcPr>
            <w:tcW w:w="4299" w:type="dxa"/>
            <w:tcBorders>
              <w:top w:val="single" w:color="auto" w:sz="4" w:space="0"/>
              <w:left w:val="single" w:color="auto"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w:t>
            </w:r>
          </w:p>
        </w:tc>
      </w:tr>
    </w:tbl>
    <w:p>
      <w:pPr>
        <w:widowControl w:val="0"/>
        <w:suppressAutoHyphens/>
        <w:bidi w:val="0"/>
        <w:spacing w:before="0" w:after="0"/>
        <w:ind w:left="-220" w:leftChars="0" w:right="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1.</w:t>
      </w:r>
      <w:r>
        <w:rPr>
          <w:rFonts w:hint="eastAsia" w:ascii="仿宋" w:hAnsi="仿宋" w:eastAsia="仿宋" w:cs="仿宋"/>
          <w:b/>
          <w:bCs/>
          <w:sz w:val="22"/>
          <w:szCs w:val="22"/>
        </w:rPr>
        <w:t>“三公”经费、会议费、培训费详细支出情况见支出情况说明。</w:t>
      </w:r>
    </w:p>
    <w:p>
      <w:pPr>
        <w:widowControl w:val="0"/>
        <w:numPr>
          <w:ilvl w:val="0"/>
          <w:numId w:val="8"/>
        </w:numPr>
        <w:suppressAutoHyphens/>
        <w:bidi w:val="0"/>
        <w:spacing w:before="0" w:after="0"/>
        <w:ind w:left="200" w:leftChars="0" w:right="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本表金额转换为万元时，因四舍五入可能存在尾差。</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72" w:type="dxa"/>
        <w:tblInd w:w="-106" w:type="dxa"/>
        <w:tblLayout w:type="fixed"/>
        <w:tblCellMar>
          <w:top w:w="55" w:type="dxa"/>
          <w:left w:w="55" w:type="dxa"/>
          <w:bottom w:w="55" w:type="dxa"/>
          <w:right w:w="55" w:type="dxa"/>
        </w:tblCellMar>
      </w:tblPr>
      <w:tblGrid>
        <w:gridCol w:w="1466"/>
        <w:gridCol w:w="2511"/>
        <w:gridCol w:w="2092"/>
        <w:gridCol w:w="2331"/>
        <w:gridCol w:w="1869"/>
        <w:gridCol w:w="1577"/>
        <w:gridCol w:w="1646"/>
        <w:gridCol w:w="2280"/>
      </w:tblGrid>
      <w:tr>
        <w:tblPrEx>
          <w:tblCellMar>
            <w:top w:w="55" w:type="dxa"/>
            <w:left w:w="55" w:type="dxa"/>
            <w:bottom w:w="55" w:type="dxa"/>
            <w:right w:w="55" w:type="dxa"/>
          </w:tblCellMar>
        </w:tblPrEx>
        <w:trPr>
          <w:trHeight w:val="395" w:hRule="atLeast"/>
        </w:trPr>
        <w:tc>
          <w:tcPr>
            <w:tcW w:w="15772" w:type="dxa"/>
            <w:gridSpan w:val="8"/>
            <w:vAlign w:val="center"/>
          </w:tcPr>
          <w:p>
            <w:pPr>
              <w:pStyle w:val="22"/>
              <w:widowControl w:val="0"/>
              <w:jc w:val="center"/>
              <w:rPr>
                <w:rFonts w:hint="eastAsia" w:ascii="仿宋" w:hAnsi="仿宋" w:eastAsia="仿宋" w:cs="仿宋"/>
                <w:b/>
                <w:bCs/>
                <w:sz w:val="44"/>
                <w:szCs w:val="44"/>
              </w:rPr>
            </w:pPr>
            <w:r>
              <w:rPr>
                <w:rFonts w:hint="eastAsia" w:ascii="仿宋" w:hAnsi="仿宋" w:eastAsia="仿宋" w:cs="仿宋"/>
                <w:b/>
                <w:bCs/>
                <w:sz w:val="44"/>
                <w:szCs w:val="44"/>
              </w:rPr>
              <w:t>政府性基金预算收入支出决算表</w:t>
            </w:r>
          </w:p>
        </w:tc>
      </w:tr>
      <w:tr>
        <w:tblPrEx>
          <w:tblCellMar>
            <w:top w:w="55" w:type="dxa"/>
            <w:left w:w="55" w:type="dxa"/>
            <w:bottom w:w="55" w:type="dxa"/>
            <w:right w:w="55" w:type="dxa"/>
          </w:tblCellMar>
        </w:tblPrEx>
        <w:trPr>
          <w:trHeight w:val="323" w:hRule="atLeast"/>
        </w:trPr>
        <w:tc>
          <w:tcPr>
            <w:tcW w:w="3977" w:type="dxa"/>
            <w:gridSpan w:val="2"/>
          </w:tcPr>
          <w:p>
            <w:pPr>
              <w:pStyle w:val="22"/>
              <w:widowControl w:val="0"/>
              <w:rPr>
                <w:rFonts w:hint="eastAsia" w:ascii="仿宋" w:hAnsi="仿宋" w:eastAsia="仿宋" w:cs="仿宋"/>
                <w:sz w:val="20"/>
              </w:rPr>
            </w:pPr>
          </w:p>
        </w:tc>
        <w:tc>
          <w:tcPr>
            <w:tcW w:w="2092" w:type="dxa"/>
          </w:tcPr>
          <w:p>
            <w:pPr>
              <w:pStyle w:val="22"/>
              <w:widowControl w:val="0"/>
              <w:rPr>
                <w:rFonts w:hint="eastAsia" w:ascii="仿宋" w:hAnsi="仿宋" w:eastAsia="仿宋" w:cs="仿宋"/>
                <w:sz w:val="27"/>
              </w:rPr>
            </w:pPr>
          </w:p>
        </w:tc>
        <w:tc>
          <w:tcPr>
            <w:tcW w:w="2331" w:type="dxa"/>
          </w:tcPr>
          <w:p>
            <w:pPr>
              <w:pStyle w:val="22"/>
              <w:widowControl w:val="0"/>
              <w:rPr>
                <w:rFonts w:hint="eastAsia" w:ascii="仿宋" w:hAnsi="仿宋" w:eastAsia="仿宋" w:cs="仿宋"/>
                <w:sz w:val="27"/>
              </w:rPr>
            </w:pPr>
          </w:p>
        </w:tc>
        <w:tc>
          <w:tcPr>
            <w:tcW w:w="5092" w:type="dxa"/>
            <w:gridSpan w:val="3"/>
          </w:tcPr>
          <w:p>
            <w:pPr>
              <w:pStyle w:val="22"/>
              <w:widowControl w:val="0"/>
              <w:rPr>
                <w:rFonts w:hint="eastAsia" w:ascii="仿宋" w:hAnsi="仿宋" w:eastAsia="仿宋" w:cs="仿宋"/>
                <w:sz w:val="20"/>
              </w:rPr>
            </w:pPr>
          </w:p>
        </w:tc>
        <w:tc>
          <w:tcPr>
            <w:tcW w:w="2280"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38" w:hRule="atLeast"/>
        </w:trPr>
        <w:tc>
          <w:tcPr>
            <w:tcW w:w="13492" w:type="dxa"/>
            <w:gridSpan w:val="7"/>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2280"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13" w:hRule="atLeast"/>
        </w:trPr>
        <w:tc>
          <w:tcPr>
            <w:tcW w:w="397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092"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年初结转和结余</w:t>
            </w:r>
          </w:p>
        </w:tc>
        <w:tc>
          <w:tcPr>
            <w:tcW w:w="2331"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w:t>
            </w:r>
          </w:p>
        </w:tc>
        <w:tc>
          <w:tcPr>
            <w:tcW w:w="5092"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w:t>
            </w:r>
          </w:p>
        </w:tc>
        <w:tc>
          <w:tcPr>
            <w:tcW w:w="2280"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年末结转和结余</w:t>
            </w:r>
          </w:p>
        </w:tc>
      </w:tr>
      <w:tr>
        <w:tblPrEx>
          <w:tblCellMar>
            <w:top w:w="55" w:type="dxa"/>
            <w:left w:w="55" w:type="dxa"/>
            <w:bottom w:w="55" w:type="dxa"/>
            <w:right w:w="55" w:type="dxa"/>
          </w:tblCellMar>
        </w:tblPrEx>
        <w:trPr>
          <w:trHeight w:val="528" w:hRule="atLeast"/>
        </w:trPr>
        <w:tc>
          <w:tcPr>
            <w:tcW w:w="14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51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92"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31"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86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小计</w:t>
            </w:r>
          </w:p>
        </w:tc>
        <w:tc>
          <w:tcPr>
            <w:tcW w:w="157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64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c>
          <w:tcPr>
            <w:tcW w:w="228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397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09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xml:space="preserve">  1</w:t>
            </w:r>
          </w:p>
        </w:tc>
        <w:tc>
          <w:tcPr>
            <w:tcW w:w="23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xml:space="preserve">  2</w:t>
            </w:r>
          </w:p>
        </w:tc>
        <w:tc>
          <w:tcPr>
            <w:tcW w:w="186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c>
          <w:tcPr>
            <w:tcW w:w="157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4</w:t>
            </w:r>
          </w:p>
        </w:tc>
        <w:tc>
          <w:tcPr>
            <w:tcW w:w="164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5</w:t>
            </w:r>
          </w:p>
        </w:tc>
        <w:tc>
          <w:tcPr>
            <w:tcW w:w="228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xml:space="preserve">  6</w:t>
            </w:r>
          </w:p>
        </w:tc>
      </w:tr>
      <w:tr>
        <w:tblPrEx>
          <w:tblCellMar>
            <w:top w:w="55" w:type="dxa"/>
            <w:left w:w="55" w:type="dxa"/>
            <w:bottom w:w="55" w:type="dxa"/>
            <w:right w:w="55" w:type="dxa"/>
          </w:tblCellMar>
        </w:tblPrEx>
        <w:trPr>
          <w:trHeight w:val="407" w:hRule="exact"/>
        </w:trPr>
        <w:tc>
          <w:tcPr>
            <w:tcW w:w="397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09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331"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6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4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28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spacing w:before="25" w:after="0"/>
        <w:ind w:left="-220" w:leftChars="-100" w:firstLine="0" w:firstLineChars="0"/>
        <w:rPr>
          <w:rFonts w:hint="eastAsia" w:ascii="仿宋" w:hAnsi="仿宋" w:eastAsia="仿宋" w:cs="仿宋"/>
          <w:b/>
          <w:bCs/>
          <w:sz w:val="22"/>
          <w:szCs w:val="22"/>
        </w:rPr>
      </w:pPr>
      <w:r>
        <w:rPr>
          <w:rFonts w:hint="eastAsia" w:ascii="仿宋" w:hAnsi="仿宋" w:eastAsia="仿宋" w:cs="仿宋"/>
          <w:b/>
          <w:bCs/>
          <w:sz w:val="22"/>
          <w:szCs w:val="22"/>
        </w:rPr>
        <w:t>注：1. 本表反映部门本年度按功能分类政府性基金预算财政拨款收支及结转和结余情况。</w:t>
      </w:r>
    </w:p>
    <w:p>
      <w:pPr>
        <w:numPr>
          <w:ilvl w:val="0"/>
          <w:numId w:val="9"/>
        </w:numPr>
        <w:spacing w:before="25" w:after="0"/>
        <w:ind w:left="20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本表金额转换为万元时，因四舍五入可能存在尾差。</w:t>
      </w:r>
    </w:p>
    <w:p>
      <w:pPr>
        <w:numPr>
          <w:ilvl w:val="0"/>
          <w:numId w:val="9"/>
        </w:numPr>
        <w:spacing w:before="25" w:after="0"/>
        <w:ind w:left="200" w:leftChars="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本</w:t>
      </w:r>
      <w:r>
        <w:rPr>
          <w:rFonts w:ascii="仿宋" w:hAnsi="仿宋" w:cs="仿宋" w:eastAsia="仿宋"/>
          <w:b w:val="true"/>
          <w:sz w:val="22"/>
        </w:rPr>
        <w:t>单位</w:t>
      </w:r>
      <w:r>
        <w:rPr>
          <w:rFonts w:ascii="仿宋" w:hAnsi="仿宋" w:cs="仿宋" w:eastAsia="仿宋"/>
          <w:b w:val="true"/>
          <w:sz w:val="22"/>
        </w:rPr>
        <w:t>无政府性基金预算收入支出决算，故本表为空。</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ascii="仿宋" w:hAnsi="仿宋" w:eastAsia="仿宋" w:cs="仿宋"/>
                <w:b/>
                <w:bCs/>
                <w:sz w:val="44"/>
                <w:szCs w:val="44"/>
              </w:rPr>
              <w:t>一般公共预算机关运行经费支出决算表</w:t>
            </w:r>
          </w:p>
        </w:tc>
      </w:tr>
      <w:tr>
        <w:tblPrEx>
          <w:tblCellMar>
            <w:top w:w="55" w:type="dxa"/>
            <w:left w:w="55" w:type="dxa"/>
            <w:bottom w:w="55" w:type="dxa"/>
            <w:right w:w="55" w:type="dxa"/>
          </w:tblCellMar>
        </w:tblPrEx>
        <w:trPr>
          <w:trHeight w:val="90" w:hRule="atLeast"/>
        </w:trPr>
        <w:tc>
          <w:tcPr>
            <w:tcW w:w="5964" w:type="dxa"/>
            <w:gridSpan w:val="2"/>
          </w:tcPr>
          <w:p>
            <w:pPr>
              <w:pStyle w:val="22"/>
              <w:widowControl w:val="0"/>
              <w:rPr>
                <w:rFonts w:hint="eastAsia" w:ascii="仿宋" w:hAnsi="仿宋" w:eastAsia="仿宋" w:cs="仿宋"/>
                <w:sz w:val="20"/>
              </w:rPr>
            </w:pPr>
          </w:p>
        </w:tc>
        <w:tc>
          <w:tcPr>
            <w:tcW w:w="4271"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公开11表</w:t>
            </w:r>
          </w:p>
        </w:tc>
      </w:tr>
      <w:tr>
        <w:tblPrEx>
          <w:tblCellMar>
            <w:top w:w="55" w:type="dxa"/>
            <w:left w:w="55" w:type="dxa"/>
            <w:bottom w:w="55" w:type="dxa"/>
            <w:right w:w="55" w:type="dxa"/>
          </w:tblCellMar>
        </w:tblPrEx>
        <w:trPr>
          <w:trHeight w:val="90" w:hRule="atLeast"/>
        </w:trPr>
        <w:tc>
          <w:tcPr>
            <w:tcW w:w="7884" w:type="dxa"/>
            <w:gridSpan w:val="3"/>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235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5964"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4271"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308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63" w:hRule="atLeast"/>
        </w:trPr>
        <w:tc>
          <w:tcPr>
            <w:tcW w:w="596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4271" w:type="dxa"/>
            <w:gridSpan w:val="2"/>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办公费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印刷费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30203</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咨询费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30204</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手续费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水费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电费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邮电费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30208</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取暖费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物业管理费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差旅费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30212</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因公出国（境）费用</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维修（护）费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30214</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租赁费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会议费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培训费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公务接待费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30218</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专用材料费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30224</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被装购置费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30225</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专用燃料费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劳务费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委托业务费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工会经费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福利费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公务用车运行维护费</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其他交通费用</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30240</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税金及附加费用</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其他商品和服务支出</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307</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债务利息及费用支出</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310</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资本性支出</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31001</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房屋建筑物购建</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000000" w:sz="4" w:space="0"/>
              <w:bottom w:val="single" w:color="000000"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31002</w:t>
            </w:r>
          </w:p>
        </w:tc>
        <w:tc>
          <w:tcPr>
            <w:tcW w:w="2876" w:type="dxa"/>
            <w:tcBorders>
              <w:top w:val="single" w:color="000000" w:sz="4" w:space="0"/>
              <w:left w:val="single" w:color="000000" w:sz="4" w:space="0"/>
              <w:bottom w:val="single" w:color="000000"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办公设备购置</w:t>
            </w:r>
          </w:p>
        </w:tc>
        <w:tc>
          <w:tcPr>
            <w:tcW w:w="4271"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spacing w:before="25" w:after="0"/>
        <w:ind w:left="2" w:leftChars="-200" w:hanging="442" w:hangingChars="200"/>
        <w:rPr>
          <w:rFonts w:hint="eastAsia" w:ascii="仿宋" w:hAnsi="仿宋" w:eastAsia="仿宋" w:cs="仿宋"/>
          <w:b/>
          <w:bCs/>
          <w:sz w:val="22"/>
          <w:szCs w:val="22"/>
        </w:rPr>
      </w:pPr>
      <w:r>
        <w:rPr>
          <w:rFonts w:hint="eastAsia" w:ascii="仿宋" w:hAnsi="仿宋" w:eastAsia="仿宋" w:cs="仿宋"/>
          <w:b/>
          <w:bCs/>
          <w:sz w:val="22"/>
          <w:szCs w:val="22"/>
        </w:rPr>
        <w:t>注：1.“机关运行经费”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pPr>
        <w:numPr>
          <w:ilvl w:val="0"/>
          <w:numId w:val="10"/>
        </w:numPr>
        <w:tabs>
          <w:tab w:val="left" w:pos="0"/>
          <w:tab w:val="clear" w:pos="312"/>
        </w:tabs>
        <w:spacing w:before="25" w:after="0"/>
        <w:ind w:left="-1"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本表金额转换为万元时，因四舍五入可能存在尾差</w:t>
      </w:r>
    </w:p>
    <w:p>
      <w:pPr>
        <w:numPr>
          <w:ilvl w:val="0"/>
          <w:numId w:val="10"/>
        </w:numPr>
        <w:tabs>
          <w:tab w:val="left" w:pos="0"/>
          <w:tab w:val="clear" w:pos="312"/>
        </w:tabs>
        <w:spacing w:before="25" w:after="0"/>
        <w:ind w:left="-1"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hint="eastAsia" w:ascii="仿宋" w:hAnsi="仿宋" w:eastAsia="仿宋" w:cs="仿宋"/>
          <w:b/>
          <w:bCs/>
          <w:sz w:val="22"/>
          <w:szCs w:val="22"/>
        </w:rPr>
        <w:t>无一般公共预算机关运行经费支出决算，故本表为空。</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6"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9177" w:type="dxa"/>
        <w:tblInd w:w="45" w:type="dxa"/>
        <w:tblLayout w:type="fixed"/>
        <w:tblCellMar>
          <w:top w:w="55" w:type="dxa"/>
          <w:left w:w="55" w:type="dxa"/>
          <w:bottom w:w="55" w:type="dxa"/>
          <w:right w:w="55" w:type="dxa"/>
        </w:tblCellMar>
      </w:tblPr>
      <w:tblGrid>
        <w:gridCol w:w="3682"/>
        <w:gridCol w:w="1512"/>
        <w:gridCol w:w="1992"/>
        <w:gridCol w:w="1991"/>
      </w:tblGrid>
      <w:tr>
        <w:tblPrEx>
          <w:tblCellMar>
            <w:top w:w="55" w:type="dxa"/>
            <w:left w:w="55" w:type="dxa"/>
            <w:bottom w:w="55" w:type="dxa"/>
            <w:right w:w="55" w:type="dxa"/>
          </w:tblCellMar>
        </w:tblPrEx>
        <w:trPr>
          <w:trHeight w:val="333" w:hRule="atLeast"/>
        </w:trPr>
        <w:tc>
          <w:tcPr>
            <w:tcW w:w="9177" w:type="dxa"/>
            <w:gridSpan w:val="4"/>
            <w:vAlign w:val="center"/>
          </w:tcPr>
          <w:p>
            <w:pPr>
              <w:pStyle w:val="22"/>
              <w:widowControl w:val="0"/>
              <w:bidi w:val="0"/>
              <w:jc w:val="center"/>
              <w:rPr>
                <w:rFonts w:hint="eastAsia" w:ascii="仿宋" w:hAnsi="仿宋" w:eastAsia="仿宋" w:cs="仿宋"/>
                <w:b/>
                <w:bCs/>
                <w:sz w:val="44"/>
                <w:szCs w:val="44"/>
              </w:rPr>
            </w:pPr>
            <w:r>
              <w:rPr>
                <w:rFonts w:hint="eastAsia" w:ascii="仿宋" w:hAnsi="仿宋" w:eastAsia="仿宋" w:cs="仿宋"/>
                <w:b/>
                <w:bCs/>
                <w:sz w:val="44"/>
                <w:szCs w:val="44"/>
              </w:rPr>
              <w:t>政府采购支出决算表</w:t>
            </w:r>
          </w:p>
        </w:tc>
      </w:tr>
      <w:tr>
        <w:tblPrEx>
          <w:tblCellMar>
            <w:top w:w="55" w:type="dxa"/>
            <w:left w:w="55" w:type="dxa"/>
            <w:bottom w:w="55" w:type="dxa"/>
            <w:right w:w="55" w:type="dxa"/>
          </w:tblCellMar>
        </w:tblPrEx>
        <w:trPr>
          <w:trHeight w:val="333" w:hRule="atLeast"/>
        </w:trPr>
        <w:tc>
          <w:tcPr>
            <w:tcW w:w="3682" w:type="dxa"/>
          </w:tcPr>
          <w:p>
            <w:pPr>
              <w:pStyle w:val="22"/>
              <w:widowControl w:val="0"/>
              <w:bidi w:val="0"/>
              <w:rPr>
                <w:rFonts w:hint="eastAsia" w:ascii="仿宋" w:hAnsi="仿宋" w:eastAsia="仿宋" w:cs="仿宋"/>
              </w:rPr>
            </w:pPr>
          </w:p>
        </w:tc>
        <w:tc>
          <w:tcPr>
            <w:tcW w:w="151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1991" w:type="dxa"/>
            <w:vAlign w:val="center"/>
          </w:tcPr>
          <w:p>
            <w:pPr>
              <w:pStyle w:val="22"/>
              <w:widowControl w:val="0"/>
              <w:jc w:val="right"/>
              <w:rPr>
                <w:rFonts w:hint="eastAsia" w:ascii="仿宋" w:hAnsi="仿宋" w:eastAsia="仿宋" w:cs="仿宋"/>
              </w:rPr>
            </w:pPr>
            <w:r>
              <w:rPr>
                <w:rFonts w:hint="eastAsia" w:ascii="仿宋" w:hAnsi="仿宋" w:eastAsia="仿宋" w:cs="仿宋"/>
              </w:rPr>
              <w:t>公开12表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名称：</w:t>
            </w:r>
            <w:r>
              <w:rPr>
                <w:rFonts w:hint="eastAsia" w:ascii="仿宋" w:hAnsi="仿宋" w:eastAsia="仿宋" w:cs="仿宋"/>
              </w:rPr>
              <w:t>江苏省无锡交通高等职业技术学校</w:t>
            </w:r>
          </w:p>
        </w:tc>
        <w:tc>
          <w:tcPr>
            <w:tcW w:w="1991"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368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rPr>
            </w:pPr>
            <w:r>
              <w:rPr>
                <w:rFonts w:hint="eastAsia" w:ascii="仿宋" w:hAnsi="仿宋" w:eastAsia="仿宋" w:cs="仿宋"/>
              </w:rPr>
              <w:t>采购品目大类</w:t>
            </w:r>
          </w:p>
        </w:tc>
        <w:tc>
          <w:tcPr>
            <w:tcW w:w="5495"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trHeight w:val="186" w:hRule="atLeast"/>
        </w:trPr>
        <w:tc>
          <w:tcPr>
            <w:tcW w:w="3682" w:type="dxa"/>
            <w:tcBorders>
              <w:left w:val="single" w:color="000000" w:sz="4" w:space="0"/>
              <w:bottom w:val="single" w:color="000000" w:sz="4" w:space="0"/>
            </w:tcBorders>
            <w:vAlign w:val="center"/>
          </w:tcPr>
          <w:p>
            <w:pPr>
              <w:pStyle w:val="22"/>
              <w:widowControl w:val="0"/>
              <w:bidi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5495"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1,300.08</w:t>
            </w:r>
          </w:p>
        </w:tc>
      </w:tr>
      <w:tr>
        <w:tblPrEx>
          <w:tblCellMar>
            <w:top w:w="55" w:type="dxa"/>
            <w:left w:w="55" w:type="dxa"/>
            <w:bottom w:w="55" w:type="dxa"/>
            <w:right w:w="55" w:type="dxa"/>
          </w:tblCellMar>
        </w:tblPrEx>
        <w:trPr>
          <w:cantSplit/>
          <w:trHeight w:val="140" w:hRule="atLeast"/>
        </w:trPr>
        <w:tc>
          <w:tcPr>
            <w:tcW w:w="368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一、政府采购货物支出</w:t>
            </w:r>
          </w:p>
        </w:tc>
        <w:tc>
          <w:tcPr>
            <w:tcW w:w="5495"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426.35</w:t>
            </w:r>
          </w:p>
        </w:tc>
      </w:tr>
      <w:tr>
        <w:tblPrEx>
          <w:tblCellMar>
            <w:top w:w="55" w:type="dxa"/>
            <w:left w:w="55" w:type="dxa"/>
            <w:bottom w:w="55" w:type="dxa"/>
            <w:right w:w="55" w:type="dxa"/>
          </w:tblCellMar>
        </w:tblPrEx>
        <w:trPr>
          <w:cantSplit/>
          <w:trHeight w:val="140" w:hRule="atLeast"/>
        </w:trPr>
        <w:tc>
          <w:tcPr>
            <w:tcW w:w="368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二、政府采购工程支出</w:t>
            </w:r>
          </w:p>
        </w:tc>
        <w:tc>
          <w:tcPr>
            <w:tcW w:w="5495"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772.67</w:t>
            </w:r>
          </w:p>
        </w:tc>
      </w:tr>
      <w:tr>
        <w:tblPrEx>
          <w:tblCellMar>
            <w:top w:w="55" w:type="dxa"/>
            <w:left w:w="55" w:type="dxa"/>
            <w:bottom w:w="55" w:type="dxa"/>
            <w:right w:w="55" w:type="dxa"/>
          </w:tblCellMar>
        </w:tblPrEx>
        <w:trPr>
          <w:cantSplit/>
          <w:trHeight w:val="140" w:hRule="atLeast"/>
        </w:trPr>
        <w:tc>
          <w:tcPr>
            <w:tcW w:w="368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三、政府采购服务支出</w:t>
            </w:r>
          </w:p>
        </w:tc>
        <w:tc>
          <w:tcPr>
            <w:tcW w:w="5495"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101.06</w:t>
            </w:r>
          </w:p>
        </w:tc>
      </w:tr>
    </w:tbl>
    <w:p>
      <w:p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1.</w:t>
      </w:r>
      <w:r>
        <w:rPr>
          <w:rFonts w:hint="eastAsia" w:ascii="仿宋" w:hAnsi="仿宋" w:eastAsia="仿宋" w:cs="仿宋"/>
          <w:b/>
          <w:bCs/>
          <w:sz w:val="22"/>
          <w:szCs w:val="22"/>
        </w:rPr>
        <w:t>政府采购支出信息为单位纳入部门预算范围的各项政府采购支出情况。</w:t>
      </w:r>
    </w:p>
    <w:p>
      <w:pPr>
        <w:numPr>
          <w:ilvl w:val="0"/>
          <w:numId w:val="11"/>
        </w:numPr>
        <w:bidi w:val="0"/>
        <w:ind w:left="42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本表金额转换为万元时，因四舍五入可能存在尾差。</w:t>
      </w:r>
    </w:p>
    <w:p>
      <w:pPr>
        <w:bidi w:val="0"/>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rPr>
        <w:t>2020年度</w:t>
      </w:r>
      <w:r>
        <w:rPr>
          <w:rFonts w:ascii="仿宋" w:hAnsi="仿宋" w:cs="仿宋" w:eastAsia="仿宋"/>
          <w:b w:val="true"/>
          <w:sz w:val="44"/>
        </w:rPr>
        <w:t>单位</w:t>
      </w:r>
      <w:r>
        <w:rPr>
          <w:rFonts w:ascii="仿宋" w:hAnsi="仿宋" w:cs="仿宋" w:eastAsia="仿宋"/>
          <w:b w:val="true"/>
          <w:sz w:val="44"/>
        </w:rPr>
        <w:t>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eastAsia="zh-CN"/>
        </w:rPr>
      </w:pPr>
      <w:r>
        <w:rPr>
          <w:rFonts w:hint="eastAsia" w:ascii="仿宋" w:hAnsi="仿宋" w:eastAsia="仿宋" w:cs="仿宋"/>
          <w:b/>
          <w:bCs/>
          <w:lang w:val="en-US" w:eastAsia="zh-CN"/>
        </w:rPr>
        <w:t/>
      </w:r>
      <w:r>
        <w:rPr>
          <w:rFonts w:ascii="仿宋" w:hAnsi="仿宋" w:cs="仿宋" w:eastAsia="仿宋"/>
          <w:b w:val="true"/>
        </w:rPr>
        <w:t>一、收入支出决算总体情况说明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江苏省无锡交通高等职业技术学校2020年度收入、支出总计16,173.84万元，与上年相比收、支总计各减少608.89万元，减少3.63%。其中：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（一）收入总计16,173.84万元。包括：</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1．本年收入合计15,670.89万元。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1）一般公共预算财政拨款收入13,193.29万元，为当年从同级财政取得的一般公共预算拨款，与上年相比增加3,509.92万元，增长36.25%。主要原因是比2019年增加1900万国有资产处置收入、实训基地专项经费收入以及质量提升专项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（2）政府性基金预算财政拨款收入0万元，为当年从同级财政取得的政府性基金预算拨款，与上年决算数相同。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（3）国有资本经营预算财政拨款收入0万元，为当年从同级财政取得的国有资本经营预算拨款，与上年决算数相同。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（4）上级补助收入0万元，与上年决算数相同。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（5）事业收入2,150万元，为学校开展教育事业业务活动及其辅助活动取得的收入。与上年相比减少250万元，减少10.42%。主要原因是学生数减少，收入相应减少。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（6）经营收入0万元，与上年决算数相同。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（7）附属单位上缴收入0万元，与上年决算数相同。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（8）其他收入327.6万元，为单位取得的除上述收入以外的各项收入，主要为从无锡市教育局、无锡市人力资源和社会保障局等取得的补助收入。与上年相比增加12.1万元，增长3.84%。主要原因是补助项目增多。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2．使用非财政拨款结余0万元，为事业单位使用非财政拨款结余（原事业基金）弥补当年收支差额的数额。</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3．年初结转和结余502.94万元，主要为上年结转本年使用的交通物联网实训基地、教学设备购置等资金。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（二）支出总计16,173.84万元。包括：</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1．本年支出合计14,389.93万元。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（1）教育（类）支出11,983.41万元，主要用于学校人员经费、公用经费、运转类项目。与上年相比增加827.51万元，增长7.42%。主要原因是教职工增加，学校日常活动增多。</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（2）社会保障和就业（类）支出824.4万元，主要用于在编人员基本养老保险和职业年金。与上年相比减少161.08万元，减少16.35%。主要原因是保障缴款比例调整。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（3）交通运输（类）支出12万元，主要用于交通运输科技与成果转化项目。与上年相比减少312.7万元，减少96.3%。主要原因是上年项目完结，支出减少。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default"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（4）住房保障（类）支出1,570.11万元，主要用于在编人员公积金、提租补贴。与上年相比增加322.3万元，增长25.83%。主要原因是住房公积金、提租补贴缴费基数上调。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2．结余分配0万元，为单位当年结余的分配情况，与上年决算数相同。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3．年末结转和结余1,783.91万元，主要为本年度预算安排的焊接实训楼、2020年现代职业教育质量提升计划、实训基地等项目无法按原计划实施，需要延迟到以后年度按有关规定使用的资金。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二、收入决算情况说明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江苏省无锡交通高等职业技术学校本年收入合计15,670.89万元，其中：财政拨款收入13,193.29万元，占84.19%；上级补助收入0万元，占0%；事业收入2,150万元，占13.72%；经营收入0万元，占0%；附属单位上缴收入0万元，占0%；其他收入327.6万元，占2.09%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三、支出决算情况说明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江苏省无锡交通高等职业技术学校本年支出合计14,389.93万元，其中：基本支出11,296.47万元，占78.5%；项目支出3,093.46万元，占21.5%；上缴上级支出0万元，占0%；经营支出0万元，占0%；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right="420"/>
        <w:jc w:val="center"/>
        <w:textAlignment w:val="auto"/>
        <w:rPr>
          <w:rFonts w:hint="eastAsia" w:ascii="仿宋" w:hAnsi="仿宋" w:eastAsia="仿宋" w:cs="仿宋"/>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四、财政拨款收入支出决算总体情况说明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江苏省无锡交通高等职业技术学校2020年度财政拨款收、支总决算13,470.1万元，与上年相比，财政拨款收、支总计各增加1,990.22万元，增长17.34%。主要原因是国有资产处置收入比2019年增加，人员经费和项目经费支出比2019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五、财政拨款支出决算情况说明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拨款发生的支出，也包括使用上年度财政拨款结转和结余资金发生的支出。江苏省无锡交通高等职业技术学校2020年度财政拨款支出11,805.75万元，占本年支出合计的82.04%。江苏省无锡交通高等职业技术学校2020年度财政拨款支出年初预算为11,843.37万元，支出决算为11,805.75万元，完成年初预算的99.68%。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（一）教育支出（类）</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职业教育（款）中等职业教育（项）。年初预算为11,018.97万元，支出决算为10,732.89万元，完成年初预算的97.4%，决算数小于预算数的主要原因职业教育（款）中等职业教育（项）年初预算中包含了住房改革支出（款）提租补贴（项）预算231.06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2．职业教育（款）高等职业教育（项）。年初预算为0万元，支出决算为5.4万元，年初预算数为0万元，无法计算完成比率，决算数大于预算数的主要原因资金5.4万元于年中下达。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（二）社会保障和就业支出（类）</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1．行政事业单位养老支出（款）机关事业单位基本养老保险缴费支出（项）。年初预算为549.6万元，支出决算为549.6万元，完成年初预算的100%。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2．行政事业单位养老支出（款）机关事业单位职业年金缴费支出（项）。年初预算为274.8万元，支出决算为274.8万元，完成年初预算的100%。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（三）交通运输支出（类）</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其他交通运输支出（款）其他交通运输支出（项）。年初预算为0万元，支出决算为12万元，年初预算数为0万元，无法计算完成比率，决算数大于预算数的主要原因资金20万元于年中下达。</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（四）住房保障支出（类）</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住房改革支出（款）提租补贴（项）。年初预算为0万元，支出决算为231.06万元，年初预算数为0万元，无法计算完成比率，决算数大于预算数的主要原因住房改革支出（款）提租补贴（项）年初预算231.06万元包含在职业教育（款）中等职业教育（项）年初预算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六、财政拨款基本支出决算情况说明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江苏省无锡交通高等职业技术学校2020年度财政拨款基本支出8,752.29万元（金额转换为万元时，因四舍五入存在尾差），其中：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人员经费7,216.95万元。主要包括：基本工资、津贴补贴、伙食补助费、绩效工资、机关事业单位基本养老保险缴费、职业年金缴费、职工基本医疗保险缴费、其他社会保障缴费、其他工资福利支出、离休费、退休费、抚恤金、医疗费补助、助学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公用经费1,535.34万元。主要包括：办公费、印刷费、咨询费、手续费、水费、电费、邮电费、物业管理费、差旅费、公务接待费、专用材料费、专用燃料费、劳务费、委托业务费、工会经费、福利费、公务用车运行维护费、其他交通费用、其他商品和服务支出、办公设备购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七、一般公共预算财政拨款支出决算情况说明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般公共预算财政拨款支出决算反映的是一般公共预算财政拨款支出的总体情况，既包括使用本年从本级财政取得的一般公共预算财政拨款发生的支出，也包括使用上年度一般公共预算财政拨款结转和结余资金发生的支出。江苏省无锡交通高等职业技术学校2020年度一般公共预算财政拨款支出11,805.75万元，与上年相比增加602.68万元，增长5.38%。主要原因是人员经费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八、一般公共预算财政拨款基本支出决算情况说明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江苏省无锡交通高等职业技术学校2020年度一般公共预算财政拨款基本支出8,752.29万元（金额转换为万元时，因四舍五入存在尾差），其中：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7,216.95万元。主要包括：基本工资、津贴补贴、伙食补助费、绩效工资、机关事业单位基本养老保险缴费、职业年金缴费、职工基本医疗保险缴费、其他社会保障缴费、其他工资福利支出、离休费、退休费、抚恤金、医疗费补助、助学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1,535.34万元。主要包括：办公费、印刷费、咨询费、手续费、水费、电费、邮电费、物业管理费、差旅费、公务接待费、专用材料费、专用燃料费、劳务费、委托业务费、工会经费、福利费、公务用车运行维护费、其他交通费用、其他商品和服务支出、办公设备购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九、一般公共预算财政拨款“三公”经费、会议费、培训费支出情况说明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江苏省无锡交通高等职业技术学校2020年度一般公共预算拨款安排的“三公”经费决算支出中，因公出国（境）费支出0万元，占“三公”经费的0%；公务用车购置及运行维护费支出5.59万元，占“三公”经费的65.08%；公务接待费支出3万元，占“三公”经费的34.92%。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1．因公出国（境）费决算支出0万元，年初预算数为0万元，无法计算完成比率，与上年决算数相同，与本年预算数相同，全年使用一般公共预算拨款支出安排的出国（境）团组0个，累计0人次。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2．公务用车购置及运行维护费支出5.59万元。其中：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（1）公务用车购置决算支出0万元，年初预算数为0万元，无法计算完成比率，与上年决算数相同，与本年预算数相同。本年度使用一般公共预算拨款购置公务用车0辆。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公务用车运行维护费决算支出5.59万元，完成年初预算的99.82%，比上年决算增加0.17万元，主要原因为车辆保养费用增加；决算数小于预算数的主要原因严控支出，落实过紧日子要求。公务用车运行维护费主要用于公车的日常保养；2020年度使用一般公共预算拨款开支运行维护费的公务用车保有量2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3万元，完成年初预算的10%，比上年决算减少6.38万元，主要原因为疫情原因减少公务接待；决算数小于预算数的主要原因严控支出，落实过紧日子要求。其中：国内公务接待支出3万元，接待32批次，244人次，主要为接待有关企业、院校、行政机关人员来访；国（境）外公务接待支出0万元，接待0批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2020年度一般公共预算拨款安排的会议费决算支出0万元，年初预算数为0万元，无法计算完成比率，与上年决算数相同，与本年预算数相同，2020年度全年召开会议0个，参加会议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2020年度一般公共预算拨款安排的培训费决算支出0万元，年初预算数为0万元，无法计算完成比率，与上年决算数相同，与本年预算数相同，2020年度全年组织培训0个，组织培训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十、政府性基金预算财政拨款收入支出决算情况说明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江苏省无锡交通高等职业技术学校2020年度政府性基金预算财政拨款年初结转和结余0万元，本年收入决算0万元，本年支出决算0万元，年末结转和结余0万元。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十一、一般公共预算机关运行经费支出决算情况说明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2020年度本单位机关运行经费支出0万元，与上年决算数相同。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十二、政府采购支出决算情况说明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2020年度政府采购支出总额1,300.08万元，其中：政府采购货物支出426.35万元、政府采购工程支出772.67万元、政府采购服务支出101.06万元。授予中小企业合同金额995.46万元，占政府采购支出总额的76.57%，其中：授予小微企业合同金额304.62万元，占政府采购支出总额的23.43%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十三、国有资产占用情况说明</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副部（省）级及以上领导用车0辆、主要领导干部用车0辆、机要通信用车0辆、应急保障用车0辆、执法执勤用车0辆、特种专业用车0辆、离退休干部用车0辆，其他用车2辆，其他用车主要是学校业务保障用车;单价50万元（含）以上的通用设备5台（套），单价100万元（含）以上的专用设备6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十四、预算绩效评价工作开展情况</w:t>
      </w:r>
      <w:r>
        <w:rPr>
          <w:rFonts w:ascii="仿宋" w:hAnsi="仿宋" w:cs="仿宋" w:eastAsia="仿宋"/>
          <w:b w:val="true"/>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2020年度，本单位共0个项目开展了财政重点绩效评价，涉及财政性资金合计0万元；本单位开展财政整体支出重点绩效评价，涉及财政性资金11,805.75万元；本单位共0个项目开展了单位绩效自评，涉及财政性资金合计0万元。</w:t>
      </w:r>
      <w:r>
        <w:rPr>
          <w:rFonts w:ascii="仿宋" w:hAnsi="仿宋" w:cs="仿宋" w:eastAsia="仿宋"/>
        </w:rPr>
        <w:t/>
      </w:r>
    </w:p>
    <w:p>
      <w:pPr>
        <w:keepNext w:val="0"/>
        <w:keepLines w:val="0"/>
        <w:pageBreakBefore w:val="0"/>
        <w:widowControl w:val="0"/>
        <w:kinsoku/>
        <w:wordWrap/>
        <w:overflowPunct w:val="0"/>
        <w:topLinePunct w:val="0"/>
        <w:autoSpaceDE/>
        <w:autoSpaceDN/>
        <w:bidi w:val="0"/>
        <w:adjustRightInd/>
        <w:snapToGrid/>
        <w:ind w:left="440" w:leftChars="200" w:firstLine="453" w:firstLineChars="206"/>
        <w:textAlignment w:val="auto"/>
        <w:rPr>
          <w:rFonts w:hint="eastAsia" w:ascii="仿宋" w:hAnsi="仿宋" w:eastAsia="仿宋" w:cs="仿宋"/>
          <w:lang w:val="en-US" w:eastAsia="zh-CN"/>
        </w:rPr>
      </w:pPr>
      <w:r>
        <w:rPr>
          <w:rFonts w:hint="eastAsia" w:ascii="仿宋" w:hAnsi="仿宋" w:eastAsia="仿宋" w:cs="仿宋"/>
          <w:lang w:val="en-US" w:eastAsia="zh-CN"/>
        </w:rPr>
        <w:br w:type="page"/>
      </w:r>
    </w:p>
    <w:p>
      <w:pPr>
        <w:pStyle w:val="8"/>
        <w:tabs>
          <w:tab w:val="left" w:pos="3864"/>
          <w:tab w:val="left" w:pos="6248"/>
          <w:tab w:val="left" w:pos="7386"/>
        </w:tabs>
        <w:spacing w:before="1" w:after="0" w:line="336" w:lineRule="auto"/>
        <w:ind w:left="348" w:right="420" w:firstLine="640"/>
        <w:jc w:val="both"/>
        <w:rPr>
          <w:rFonts w:hint="eastAsia" w:ascii="仿宋" w:hAnsi="仿宋" w:eastAsia="仿宋" w:cs="仿宋"/>
          <w:lang w:val="en-US" w:eastAsia="zh-CN"/>
        </w:rPr>
        <w:sectPr>
          <w:footerReference r:id="rId18" w:type="default"/>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cs="仿宋" w:eastAsia="仿宋"/>
          <w:b w:val="true"/>
        </w:rPr>
        <w:t>：</w:t>
      </w:r>
      <w:r>
        <w:rPr>
          <w:rFonts w:hint="eastAsia" w:ascii="仿宋" w:hAnsi="仿宋" w:eastAsia="仿宋" w:cs="仿宋"/>
        </w:rPr>
        <w:t>指单位本年度从同级财政部门取得的各类财政拨款。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cs="仿宋" w:eastAsia="仿宋"/>
          <w:b w:val="true"/>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三、事业收入</w:t>
      </w:r>
      <w:r>
        <w:rPr>
          <w:rFonts w:ascii="仿宋" w:hAnsi="仿宋" w:cs="仿宋" w:eastAsia="仿宋"/>
          <w:b w:val="true"/>
        </w:rPr>
        <w:t>：</w:t>
      </w:r>
      <w:r>
        <w:rPr>
          <w:rFonts w:hint="eastAsia" w:ascii="仿宋" w:hAnsi="仿宋" w:eastAsia="仿宋" w:cs="仿宋"/>
        </w:rPr>
        <w:t>指事业单位开展专业业务活动及其辅助活动取得的收入，事业单位收到的财政专户实际核拨的教育收费等资金在此反映。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四、经营收入</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五、附属单位上缴收入</w:t>
      </w:r>
      <w:r>
        <w:rPr>
          <w:rFonts w:ascii="仿宋" w:hAnsi="仿宋" w:cs="仿宋" w:eastAsia="仿宋"/>
          <w:b w:val="true"/>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六、其他收入</w:t>
      </w:r>
      <w:r>
        <w:rPr>
          <w:rFonts w:ascii="仿宋" w:hAnsi="仿宋" w:cs="仿宋" w:eastAsia="仿宋"/>
          <w:b w:val="true"/>
        </w:rPr>
        <w:t>：</w:t>
      </w:r>
      <w:r>
        <w:rPr>
          <w:rFonts w:hint="eastAsia" w:ascii="仿宋" w:hAnsi="仿宋" w:eastAsia="仿宋" w:cs="仿宋"/>
        </w:rPr>
        <w:t>指单位取得的除上述“财政拨款收入”、“事业收入”、“经营收入”等以外的各项收入。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七、使用非财政拨款结余</w:t>
      </w:r>
      <w:r>
        <w:rPr>
          <w:rFonts w:ascii="仿宋" w:hAnsi="仿宋" w:cs="仿宋" w:eastAsia="仿宋"/>
          <w:b w:val="true"/>
        </w:rPr>
        <w:t>：</w:t>
      </w:r>
      <w:r>
        <w:rPr>
          <w:rFonts w:hint="eastAsia" w:ascii="仿宋" w:hAnsi="仿宋" w:eastAsia="仿宋" w:cs="仿宋"/>
        </w:rPr>
        <w:t>指事业单位使用非财政拨款结余（原事业基金）弥补当年收支差额的数额。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八、年初结转和结余</w:t>
      </w:r>
      <w:r>
        <w:rPr>
          <w:rFonts w:ascii="仿宋" w:hAnsi="仿宋" w:cs="仿宋" w:eastAsia="仿宋"/>
          <w:b w:val="true"/>
        </w:rPr>
        <w:t>：</w:t>
      </w:r>
      <w:r>
        <w:rPr>
          <w:rFonts w:hint="eastAsia" w:ascii="仿宋" w:hAnsi="仿宋" w:eastAsia="仿宋" w:cs="仿宋"/>
        </w:rPr>
        <w:t>指单位上年结转本年使用的基本支出结转、项目支出结转和结余和经营结余。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九、结余分配</w:t>
      </w:r>
      <w:r>
        <w:rPr>
          <w:rFonts w:ascii="仿宋" w:hAnsi="仿宋" w:cs="仿宋" w:eastAsia="仿宋"/>
          <w:b w:val="true"/>
        </w:rPr>
        <w:t>：</w:t>
      </w:r>
      <w:r>
        <w:rPr>
          <w:rFonts w:hint="eastAsia" w:ascii="仿宋" w:hAnsi="仿宋" w:eastAsia="仿宋" w:cs="仿宋"/>
        </w:rPr>
        <w:t>指事业单位按规定对非财政拨款结余资金提取的专用基金、缴纳的所得税和转入非财政拨款结余等。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十、年末结转和结余资金</w:t>
      </w:r>
      <w:r>
        <w:rPr>
          <w:rFonts w:ascii="仿宋" w:hAnsi="仿宋" w:cs="仿宋" w:eastAsia="仿宋"/>
          <w:b w:val="true"/>
        </w:rPr>
        <w:t>：</w:t>
      </w:r>
      <w:r>
        <w:rPr>
          <w:rFonts w:hint="eastAsia" w:ascii="仿宋" w:hAnsi="仿宋" w:eastAsia="仿宋" w:cs="仿宋"/>
        </w:rPr>
        <w:t>指本年度或以前年度预算安排、因客观条件发生变化无法按原计划实施，需要延迟到以后年度按有关规定继续使用的资金。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十一、基本支出</w:t>
      </w:r>
      <w:r>
        <w:rPr>
          <w:rFonts w:ascii="仿宋" w:hAnsi="仿宋" w:cs="仿宋" w:eastAsia="仿宋"/>
          <w:b w:val="true"/>
        </w:rPr>
        <w:t>：</w:t>
      </w:r>
      <w:r>
        <w:rPr>
          <w:rFonts w:hint="eastAsia" w:ascii="仿宋" w:hAnsi="仿宋" w:eastAsia="仿宋" w:cs="仿宋"/>
        </w:rPr>
        <w:t>指为保障机构正常运转、完成日常工作任务而发生的支出，包括人员经费和公用经费。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十二、项目支出</w:t>
      </w:r>
      <w:r>
        <w:rPr>
          <w:rFonts w:ascii="仿宋" w:hAnsi="仿宋" w:cs="仿宋" w:eastAsia="仿宋"/>
          <w:b w:val="true"/>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十三、上缴上级支出</w:t>
      </w:r>
      <w:r>
        <w:rPr>
          <w:rFonts w:ascii="仿宋" w:hAnsi="仿宋" w:cs="仿宋" w:eastAsia="仿宋"/>
          <w:b w:val="true"/>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十四、经营支出</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十五、对附属单位补助支出</w:t>
      </w:r>
      <w:r>
        <w:rPr>
          <w:rFonts w:ascii="仿宋" w:hAnsi="仿宋" w:cs="仿宋" w:eastAsia="仿宋"/>
          <w:b w:val="true"/>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十六、“三公”经费</w:t>
      </w:r>
      <w:r>
        <w:rPr>
          <w:rFonts w:ascii="仿宋" w:hAnsi="仿宋" w:cs="仿宋" w:eastAsia="仿宋"/>
          <w:b w:val="true"/>
        </w:rPr>
        <w:t>：</w:t>
      </w:r>
      <w:r>
        <w:rPr>
          <w:rFonts w:hint="eastAsia" w:ascii="仿宋" w:hAnsi="仿宋" w:eastAsia="仿宋" w:cs="仿宋"/>
        </w:rPr>
        <w:t>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十八、教育支出(类)职业教育(款)中等职业教育(项)</w:t>
      </w:r>
      <w:r>
        <w:rPr>
          <w:rFonts w:ascii="仿宋" w:hAnsi="仿宋" w:cs="仿宋" w:eastAsia="仿宋"/>
          <w:b w:val="true"/>
        </w:rPr>
        <w:t>：</w:t>
      </w:r>
      <w:r>
        <w:rPr>
          <w:rFonts w:hint="eastAsia" w:ascii="仿宋" w:hAnsi="仿宋" w:eastAsia="仿宋" w:cs="仿宋"/>
        </w:rPr>
        <w:t>反映各部门（不含人力资源社会保障部门）举办的中等职业学校支出。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十九、教育支出(类)职业教育(款)高等职业教育(项)</w:t>
      </w:r>
      <w:r>
        <w:rPr>
          <w:rFonts w:ascii="仿宋" w:hAnsi="仿宋" w:cs="仿宋" w:eastAsia="仿宋"/>
          <w:b w:val="true"/>
        </w:rPr>
        <w:t>：</w:t>
      </w:r>
      <w:r>
        <w:rPr>
          <w:rFonts w:hint="eastAsia" w:ascii="仿宋" w:hAnsi="仿宋" w:eastAsia="仿宋" w:cs="仿宋"/>
        </w:rPr>
        <w:t>反映经国家批准设立的高等职业大学、专科职业教育等方面的支出。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二十二、交通运输支出(类)其他交通运输支出(款)其他交通运输支出(项)</w:t>
      </w:r>
      <w:r>
        <w:rPr>
          <w:rFonts w:ascii="仿宋" w:hAnsi="仿宋" w:cs="仿宋" w:eastAsia="仿宋"/>
          <w:b w:val="true"/>
        </w:rPr>
        <w:t>：</w:t>
      </w:r>
      <w:r>
        <w:rPr>
          <w:rFonts w:hint="eastAsia" w:ascii="仿宋" w:hAnsi="仿宋" w:eastAsia="仿宋" w:cs="仿宋"/>
        </w:rPr>
        <w:t>反映其他交通运输支出中除对公共交通运营补助以外的其他支出。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type w:val="continuous"/>
      <w:pgSz w:w="11906" w:h="16838"/>
      <w:pgMar w:top="1580" w:right="820" w:bottom="770" w:left="900" w:header="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江苏省无锡交通高等职业技术学校</w:t>
    </w:r>
    <w:r>
      <w:t>2020年度部门决算公开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3D8E2"/>
    <w:multiLevelType w:val="singleLevel"/>
    <w:tmpl w:val="9A63D8E2"/>
    <w:lvl w:ilvl="0" w:tentative="0">
      <w:start w:val="2"/>
      <w:numFmt w:val="decimal"/>
      <w:lvlText w:val="%1."/>
      <w:lvlJc w:val="left"/>
      <w:pPr>
        <w:tabs>
          <w:tab w:val="left" w:pos="312"/>
        </w:tabs>
        <w:ind w:left="1058" w:leftChars="0" w:firstLine="0" w:firstLineChars="0"/>
      </w:pPr>
    </w:lvl>
  </w:abstractNum>
  <w:abstractNum w:abstractNumId="1">
    <w:nsid w:val="B5CD9CBE"/>
    <w:multiLevelType w:val="singleLevel"/>
    <w:tmpl w:val="B5CD9CBE"/>
    <w:lvl w:ilvl="0" w:tentative="0">
      <w:start w:val="1"/>
      <w:numFmt w:val="decimal"/>
      <w:lvlText w:val="%1."/>
      <w:lvlJc w:val="left"/>
      <w:pPr>
        <w:tabs>
          <w:tab w:val="left" w:pos="312"/>
        </w:tabs>
      </w:pPr>
      <w:rPr>
        <w:rFonts w:hint="default"/>
      </w:rPr>
    </w:lvl>
  </w:abstractNum>
  <w:abstractNum w:abstractNumId="2">
    <w:nsid w:val="BCEBFC23"/>
    <w:multiLevelType w:val="singleLevel"/>
    <w:tmpl w:val="BCEBFC23"/>
    <w:lvl w:ilvl="0" w:tentative="0">
      <w:start w:val="2"/>
      <w:numFmt w:val="decimal"/>
      <w:lvlText w:val="%1."/>
      <w:lvlJc w:val="left"/>
      <w:pPr>
        <w:tabs>
          <w:tab w:val="left" w:pos="312"/>
        </w:tabs>
      </w:pPr>
    </w:lvl>
  </w:abstractNum>
  <w:abstractNum w:abstractNumId="3">
    <w:nsid w:val="D35CEB36"/>
    <w:multiLevelType w:val="singleLevel"/>
    <w:tmpl w:val="D35CEB36"/>
    <w:lvl w:ilvl="0" w:tentative="0">
      <w:start w:val="2"/>
      <w:numFmt w:val="decimal"/>
      <w:lvlText w:val="%1."/>
      <w:lvlJc w:val="left"/>
      <w:pPr>
        <w:tabs>
          <w:tab w:val="left" w:pos="312"/>
        </w:tabs>
        <w:ind w:left="498" w:leftChars="0" w:firstLine="0" w:firstLineChars="0"/>
      </w:pPr>
    </w:lvl>
  </w:abstractNum>
  <w:abstractNum w:abstractNumId="4">
    <w:nsid w:val="2B7DC955"/>
    <w:multiLevelType w:val="singleLevel"/>
    <w:tmpl w:val="2B7DC955"/>
    <w:lvl w:ilvl="0" w:tentative="0">
      <w:start w:val="2"/>
      <w:numFmt w:val="decimal"/>
      <w:lvlText w:val="%1."/>
      <w:lvlJc w:val="left"/>
      <w:pPr>
        <w:tabs>
          <w:tab w:val="left" w:pos="312"/>
        </w:tabs>
        <w:ind w:left="669" w:leftChars="0" w:firstLine="0" w:firstLineChars="0"/>
      </w:pPr>
    </w:lvl>
  </w:abstractNum>
  <w:abstractNum w:abstractNumId="5">
    <w:nsid w:val="325C14DC"/>
    <w:multiLevelType w:val="singleLevel"/>
    <w:tmpl w:val="325C14DC"/>
    <w:lvl w:ilvl="0" w:tentative="0">
      <w:start w:val="2"/>
      <w:numFmt w:val="decimal"/>
      <w:lvlText w:val="%1."/>
      <w:lvlJc w:val="left"/>
      <w:pPr>
        <w:tabs>
          <w:tab w:val="left" w:pos="312"/>
        </w:tabs>
      </w:pPr>
    </w:lvl>
  </w:abstractNum>
  <w:abstractNum w:abstractNumId="6">
    <w:nsid w:val="38CB0B28"/>
    <w:multiLevelType w:val="singleLevel"/>
    <w:tmpl w:val="38CB0B28"/>
    <w:lvl w:ilvl="0" w:tentative="0">
      <w:start w:val="2"/>
      <w:numFmt w:val="decimal"/>
      <w:lvlText w:val="%1."/>
      <w:lvlJc w:val="left"/>
      <w:pPr>
        <w:tabs>
          <w:tab w:val="left" w:pos="312"/>
        </w:tabs>
      </w:pPr>
    </w:lvl>
  </w:abstractNum>
  <w:abstractNum w:abstractNumId="7">
    <w:nsid w:val="471B8B78"/>
    <w:multiLevelType w:val="singleLevel"/>
    <w:tmpl w:val="471B8B78"/>
    <w:lvl w:ilvl="0" w:tentative="0">
      <w:start w:val="2"/>
      <w:numFmt w:val="decimal"/>
      <w:lvlText w:val="%1."/>
      <w:lvlJc w:val="left"/>
      <w:pPr>
        <w:tabs>
          <w:tab w:val="left" w:pos="312"/>
        </w:tabs>
        <w:ind w:left="1197" w:leftChars="0" w:firstLine="0" w:firstLineChars="0"/>
      </w:pPr>
    </w:lvl>
  </w:abstractNum>
  <w:abstractNum w:abstractNumId="8">
    <w:nsid w:val="69700013"/>
    <w:multiLevelType w:val="singleLevel"/>
    <w:tmpl w:val="69700013"/>
    <w:lvl w:ilvl="0" w:tentative="0">
      <w:start w:val="2"/>
      <w:numFmt w:val="decimal"/>
      <w:lvlText w:val="%1."/>
      <w:lvlJc w:val="left"/>
      <w:pPr>
        <w:tabs>
          <w:tab w:val="left" w:pos="312"/>
        </w:tabs>
      </w:pPr>
    </w:lvl>
  </w:abstractNum>
  <w:abstractNum w:abstractNumId="9">
    <w:nsid w:val="6CDE4512"/>
    <w:multiLevelType w:val="singleLevel"/>
    <w:tmpl w:val="6CDE4512"/>
    <w:lvl w:ilvl="0" w:tentative="0">
      <w:start w:val="2"/>
      <w:numFmt w:val="decimal"/>
      <w:lvlText w:val="%1."/>
      <w:lvlJc w:val="left"/>
      <w:pPr>
        <w:tabs>
          <w:tab w:val="left" w:pos="312"/>
        </w:tabs>
      </w:pPr>
    </w:lvl>
  </w:abstractNum>
  <w:abstractNum w:abstractNumId="10">
    <w:nsid w:val="73305834"/>
    <w:multiLevelType w:val="singleLevel"/>
    <w:tmpl w:val="73305834"/>
    <w:lvl w:ilvl="0" w:tentative="0">
      <w:start w:val="2"/>
      <w:numFmt w:val="decimal"/>
      <w:lvlText w:val="%1."/>
      <w:lvlJc w:val="left"/>
      <w:pPr>
        <w:tabs>
          <w:tab w:val="left" w:pos="312"/>
        </w:tabs>
      </w:pPr>
      <w:rPr>
        <w:rFonts w:hint="default"/>
      </w:rPr>
    </w:lvl>
  </w:abstractNum>
  <w:num w:numId="1">
    <w:abstractNumId w:val="2"/>
  </w:num>
  <w:num w:numId="2">
    <w:abstractNumId w:val="9"/>
  </w:num>
  <w:num w:numId="3">
    <w:abstractNumId w:val="1"/>
  </w:num>
  <w:num w:numId="4">
    <w:abstractNumId w:val="3"/>
  </w:num>
  <w:num w:numId="5">
    <w:abstractNumId w:val="8"/>
  </w:num>
  <w:num w:numId="6">
    <w:abstractNumId w:val="0"/>
  </w:num>
  <w:num w:numId="7">
    <w:abstractNumId w:val="4"/>
  </w:num>
  <w:num w:numId="8">
    <w:abstractNumId w:val="5"/>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789"/>
    <w:rsid w:val="000F12AB"/>
    <w:rsid w:val="001C31F9"/>
    <w:rsid w:val="00407CA7"/>
    <w:rsid w:val="00413AD8"/>
    <w:rsid w:val="00671ED7"/>
    <w:rsid w:val="00672164"/>
    <w:rsid w:val="00867423"/>
    <w:rsid w:val="008B5B05"/>
    <w:rsid w:val="009965EA"/>
    <w:rsid w:val="00A6752E"/>
    <w:rsid w:val="00BD7F33"/>
    <w:rsid w:val="00C15920"/>
    <w:rsid w:val="00C82582"/>
    <w:rsid w:val="00FA3233"/>
    <w:rsid w:val="010F1E77"/>
    <w:rsid w:val="01875334"/>
    <w:rsid w:val="018E7014"/>
    <w:rsid w:val="019803DB"/>
    <w:rsid w:val="01C22655"/>
    <w:rsid w:val="01D4677F"/>
    <w:rsid w:val="01F17DF5"/>
    <w:rsid w:val="023277C7"/>
    <w:rsid w:val="02420B21"/>
    <w:rsid w:val="026604FF"/>
    <w:rsid w:val="027F398B"/>
    <w:rsid w:val="02A822D0"/>
    <w:rsid w:val="02B14230"/>
    <w:rsid w:val="02D43672"/>
    <w:rsid w:val="02DD471D"/>
    <w:rsid w:val="02E8449D"/>
    <w:rsid w:val="02F513AC"/>
    <w:rsid w:val="03121471"/>
    <w:rsid w:val="033F3F8A"/>
    <w:rsid w:val="03673847"/>
    <w:rsid w:val="03690F36"/>
    <w:rsid w:val="03793778"/>
    <w:rsid w:val="039F7320"/>
    <w:rsid w:val="03F86EFB"/>
    <w:rsid w:val="04156348"/>
    <w:rsid w:val="044E689B"/>
    <w:rsid w:val="045E5FB7"/>
    <w:rsid w:val="0495610D"/>
    <w:rsid w:val="04DF580C"/>
    <w:rsid w:val="04EA46EB"/>
    <w:rsid w:val="05185546"/>
    <w:rsid w:val="052126A9"/>
    <w:rsid w:val="05247FC3"/>
    <w:rsid w:val="05346113"/>
    <w:rsid w:val="05423E9C"/>
    <w:rsid w:val="05600A24"/>
    <w:rsid w:val="057525F6"/>
    <w:rsid w:val="05843580"/>
    <w:rsid w:val="05AB4AE4"/>
    <w:rsid w:val="05BD2716"/>
    <w:rsid w:val="05C73A91"/>
    <w:rsid w:val="05DB339C"/>
    <w:rsid w:val="05FE3016"/>
    <w:rsid w:val="06006806"/>
    <w:rsid w:val="060D1C4C"/>
    <w:rsid w:val="061C50DF"/>
    <w:rsid w:val="06542957"/>
    <w:rsid w:val="0681129C"/>
    <w:rsid w:val="0695552F"/>
    <w:rsid w:val="06C87B62"/>
    <w:rsid w:val="072A453E"/>
    <w:rsid w:val="073A470E"/>
    <w:rsid w:val="07520D7A"/>
    <w:rsid w:val="075575FE"/>
    <w:rsid w:val="07580A5A"/>
    <w:rsid w:val="07656047"/>
    <w:rsid w:val="077C711D"/>
    <w:rsid w:val="079361A1"/>
    <w:rsid w:val="07C509DD"/>
    <w:rsid w:val="08031AA7"/>
    <w:rsid w:val="0806186F"/>
    <w:rsid w:val="083B723A"/>
    <w:rsid w:val="08913758"/>
    <w:rsid w:val="08A333FC"/>
    <w:rsid w:val="08D342E7"/>
    <w:rsid w:val="08FC0605"/>
    <w:rsid w:val="09165D85"/>
    <w:rsid w:val="096204B4"/>
    <w:rsid w:val="096B0C35"/>
    <w:rsid w:val="09891979"/>
    <w:rsid w:val="098926B4"/>
    <w:rsid w:val="09984875"/>
    <w:rsid w:val="09E82283"/>
    <w:rsid w:val="09EB3C7D"/>
    <w:rsid w:val="09F45579"/>
    <w:rsid w:val="09FE0C6E"/>
    <w:rsid w:val="0A112BB9"/>
    <w:rsid w:val="0A1D215F"/>
    <w:rsid w:val="0A2639C8"/>
    <w:rsid w:val="0A3F45FE"/>
    <w:rsid w:val="0A7F08D2"/>
    <w:rsid w:val="0A964BFD"/>
    <w:rsid w:val="0ADA70C2"/>
    <w:rsid w:val="0AFD463B"/>
    <w:rsid w:val="0B05614C"/>
    <w:rsid w:val="0B134992"/>
    <w:rsid w:val="0B160131"/>
    <w:rsid w:val="0B392278"/>
    <w:rsid w:val="0B813D25"/>
    <w:rsid w:val="0B89728A"/>
    <w:rsid w:val="0BAC43D1"/>
    <w:rsid w:val="0BCF6DAD"/>
    <w:rsid w:val="0BF41C52"/>
    <w:rsid w:val="0C047996"/>
    <w:rsid w:val="0C2215AA"/>
    <w:rsid w:val="0C6536DB"/>
    <w:rsid w:val="0C797590"/>
    <w:rsid w:val="0CD230A9"/>
    <w:rsid w:val="0CD65166"/>
    <w:rsid w:val="0CDB2BBC"/>
    <w:rsid w:val="0CE84C0B"/>
    <w:rsid w:val="0CEF2113"/>
    <w:rsid w:val="0CEF2581"/>
    <w:rsid w:val="0D05225F"/>
    <w:rsid w:val="0D261419"/>
    <w:rsid w:val="0D617032"/>
    <w:rsid w:val="0D6C5D61"/>
    <w:rsid w:val="0D760FDB"/>
    <w:rsid w:val="0D7F345D"/>
    <w:rsid w:val="0DAC0D2B"/>
    <w:rsid w:val="0DD06A00"/>
    <w:rsid w:val="0DFC3CDF"/>
    <w:rsid w:val="0DFD772C"/>
    <w:rsid w:val="0DFF5826"/>
    <w:rsid w:val="0E1F1C4F"/>
    <w:rsid w:val="0E27451D"/>
    <w:rsid w:val="0E5E7568"/>
    <w:rsid w:val="0E662847"/>
    <w:rsid w:val="0E94230E"/>
    <w:rsid w:val="0EFE25F0"/>
    <w:rsid w:val="0F807B33"/>
    <w:rsid w:val="0F8F17E6"/>
    <w:rsid w:val="0FB02B15"/>
    <w:rsid w:val="0FB21F29"/>
    <w:rsid w:val="0FB47D1E"/>
    <w:rsid w:val="0FCE598D"/>
    <w:rsid w:val="0FEF37CA"/>
    <w:rsid w:val="100928FC"/>
    <w:rsid w:val="1027035F"/>
    <w:rsid w:val="102A69EF"/>
    <w:rsid w:val="103D6600"/>
    <w:rsid w:val="106204CB"/>
    <w:rsid w:val="10A90FB7"/>
    <w:rsid w:val="110C3973"/>
    <w:rsid w:val="110D47B0"/>
    <w:rsid w:val="11110225"/>
    <w:rsid w:val="111930E1"/>
    <w:rsid w:val="11252430"/>
    <w:rsid w:val="1143676B"/>
    <w:rsid w:val="11471791"/>
    <w:rsid w:val="117C1012"/>
    <w:rsid w:val="11872569"/>
    <w:rsid w:val="11AB09B5"/>
    <w:rsid w:val="11C36B1F"/>
    <w:rsid w:val="11C52DC5"/>
    <w:rsid w:val="11F221C7"/>
    <w:rsid w:val="11F2605E"/>
    <w:rsid w:val="11F724E3"/>
    <w:rsid w:val="122227BF"/>
    <w:rsid w:val="12313173"/>
    <w:rsid w:val="12313682"/>
    <w:rsid w:val="128157F4"/>
    <w:rsid w:val="12B566A2"/>
    <w:rsid w:val="12C448B1"/>
    <w:rsid w:val="12F05187"/>
    <w:rsid w:val="13142710"/>
    <w:rsid w:val="1335650B"/>
    <w:rsid w:val="133E1FA2"/>
    <w:rsid w:val="139377AA"/>
    <w:rsid w:val="13A44407"/>
    <w:rsid w:val="13E2730D"/>
    <w:rsid w:val="13F85ED3"/>
    <w:rsid w:val="140626B0"/>
    <w:rsid w:val="140C350F"/>
    <w:rsid w:val="14207DA2"/>
    <w:rsid w:val="142101C9"/>
    <w:rsid w:val="143164E8"/>
    <w:rsid w:val="14341A45"/>
    <w:rsid w:val="146856DB"/>
    <w:rsid w:val="14933F94"/>
    <w:rsid w:val="14AA0D30"/>
    <w:rsid w:val="14BA3B44"/>
    <w:rsid w:val="1504334D"/>
    <w:rsid w:val="15664CCA"/>
    <w:rsid w:val="159E0364"/>
    <w:rsid w:val="15B93CF7"/>
    <w:rsid w:val="15D36B14"/>
    <w:rsid w:val="16053674"/>
    <w:rsid w:val="16146EAD"/>
    <w:rsid w:val="161A451C"/>
    <w:rsid w:val="161E395E"/>
    <w:rsid w:val="1621543B"/>
    <w:rsid w:val="163E1726"/>
    <w:rsid w:val="167F1A6B"/>
    <w:rsid w:val="16971C37"/>
    <w:rsid w:val="16BE14E7"/>
    <w:rsid w:val="16BE34FA"/>
    <w:rsid w:val="16ED632E"/>
    <w:rsid w:val="1717031D"/>
    <w:rsid w:val="175D47C3"/>
    <w:rsid w:val="17BC2D29"/>
    <w:rsid w:val="1808589E"/>
    <w:rsid w:val="18272F04"/>
    <w:rsid w:val="18473583"/>
    <w:rsid w:val="188B47DF"/>
    <w:rsid w:val="18916DBC"/>
    <w:rsid w:val="18AA3C15"/>
    <w:rsid w:val="18C07826"/>
    <w:rsid w:val="18C77023"/>
    <w:rsid w:val="18FD3C01"/>
    <w:rsid w:val="19195D82"/>
    <w:rsid w:val="194A216C"/>
    <w:rsid w:val="19517451"/>
    <w:rsid w:val="196D1879"/>
    <w:rsid w:val="199D3E22"/>
    <w:rsid w:val="19A676CD"/>
    <w:rsid w:val="19B34CEE"/>
    <w:rsid w:val="19C57B31"/>
    <w:rsid w:val="19CE54E8"/>
    <w:rsid w:val="19DA0E66"/>
    <w:rsid w:val="1A0868DE"/>
    <w:rsid w:val="1A386BB6"/>
    <w:rsid w:val="1A3E0B9C"/>
    <w:rsid w:val="1A641248"/>
    <w:rsid w:val="1A6B178B"/>
    <w:rsid w:val="1AD90120"/>
    <w:rsid w:val="1AEB035A"/>
    <w:rsid w:val="1AF0114F"/>
    <w:rsid w:val="1B136BC2"/>
    <w:rsid w:val="1B1C5890"/>
    <w:rsid w:val="1B363B76"/>
    <w:rsid w:val="1B394ECA"/>
    <w:rsid w:val="1B6F2A95"/>
    <w:rsid w:val="1B7011A6"/>
    <w:rsid w:val="1B894395"/>
    <w:rsid w:val="1BC84BF9"/>
    <w:rsid w:val="1BE008E5"/>
    <w:rsid w:val="1BE426E0"/>
    <w:rsid w:val="1BEF5EDC"/>
    <w:rsid w:val="1BF3045F"/>
    <w:rsid w:val="1C171374"/>
    <w:rsid w:val="1C4928ED"/>
    <w:rsid w:val="1C706707"/>
    <w:rsid w:val="1C8F4549"/>
    <w:rsid w:val="1C9B1094"/>
    <w:rsid w:val="1C9D7829"/>
    <w:rsid w:val="1CA25487"/>
    <w:rsid w:val="1CD53375"/>
    <w:rsid w:val="1CD770E1"/>
    <w:rsid w:val="1CDF3C35"/>
    <w:rsid w:val="1CED64E7"/>
    <w:rsid w:val="1CF655C7"/>
    <w:rsid w:val="1CF70CE3"/>
    <w:rsid w:val="1D0E4D1B"/>
    <w:rsid w:val="1D201166"/>
    <w:rsid w:val="1D5A4782"/>
    <w:rsid w:val="1D623037"/>
    <w:rsid w:val="1D7C0925"/>
    <w:rsid w:val="1D817975"/>
    <w:rsid w:val="1D951979"/>
    <w:rsid w:val="1DAF110E"/>
    <w:rsid w:val="1DB61054"/>
    <w:rsid w:val="1DC94431"/>
    <w:rsid w:val="1E107489"/>
    <w:rsid w:val="1E120047"/>
    <w:rsid w:val="1E2456FC"/>
    <w:rsid w:val="1E387717"/>
    <w:rsid w:val="1E5227F5"/>
    <w:rsid w:val="1E5B1486"/>
    <w:rsid w:val="1E6C2CB1"/>
    <w:rsid w:val="1E86604F"/>
    <w:rsid w:val="1E8B2478"/>
    <w:rsid w:val="1EA55F87"/>
    <w:rsid w:val="1EBB4C20"/>
    <w:rsid w:val="1EC57AB3"/>
    <w:rsid w:val="1ECE40F1"/>
    <w:rsid w:val="1EF93282"/>
    <w:rsid w:val="1EFC05DA"/>
    <w:rsid w:val="1F242409"/>
    <w:rsid w:val="1F342CDC"/>
    <w:rsid w:val="1F5838AB"/>
    <w:rsid w:val="1F721347"/>
    <w:rsid w:val="1F724421"/>
    <w:rsid w:val="1F8B39C7"/>
    <w:rsid w:val="1FA17CC2"/>
    <w:rsid w:val="1FD866E0"/>
    <w:rsid w:val="1FEA282E"/>
    <w:rsid w:val="1FF92872"/>
    <w:rsid w:val="1FFE4976"/>
    <w:rsid w:val="200945DD"/>
    <w:rsid w:val="200B03E4"/>
    <w:rsid w:val="200E293D"/>
    <w:rsid w:val="201802D4"/>
    <w:rsid w:val="20571955"/>
    <w:rsid w:val="20594713"/>
    <w:rsid w:val="20632091"/>
    <w:rsid w:val="20900DEF"/>
    <w:rsid w:val="209B6228"/>
    <w:rsid w:val="20CA3D8E"/>
    <w:rsid w:val="20F544F1"/>
    <w:rsid w:val="2148186B"/>
    <w:rsid w:val="21776D10"/>
    <w:rsid w:val="218F0CEB"/>
    <w:rsid w:val="21EA64FE"/>
    <w:rsid w:val="223F0861"/>
    <w:rsid w:val="227347E3"/>
    <w:rsid w:val="227D4749"/>
    <w:rsid w:val="22B66C67"/>
    <w:rsid w:val="22B96619"/>
    <w:rsid w:val="22C9349D"/>
    <w:rsid w:val="22CF4CB9"/>
    <w:rsid w:val="22E5714F"/>
    <w:rsid w:val="23073234"/>
    <w:rsid w:val="23153D35"/>
    <w:rsid w:val="231859C4"/>
    <w:rsid w:val="233651B2"/>
    <w:rsid w:val="233C5C01"/>
    <w:rsid w:val="23655593"/>
    <w:rsid w:val="23873CA0"/>
    <w:rsid w:val="23A668C2"/>
    <w:rsid w:val="23F81D1C"/>
    <w:rsid w:val="24004EF0"/>
    <w:rsid w:val="24361C71"/>
    <w:rsid w:val="2455798C"/>
    <w:rsid w:val="246E4FE1"/>
    <w:rsid w:val="247771B1"/>
    <w:rsid w:val="24797436"/>
    <w:rsid w:val="24893698"/>
    <w:rsid w:val="248A0DA1"/>
    <w:rsid w:val="248B0DC9"/>
    <w:rsid w:val="24EF440E"/>
    <w:rsid w:val="25191A92"/>
    <w:rsid w:val="25290357"/>
    <w:rsid w:val="253C3B25"/>
    <w:rsid w:val="255F5B0A"/>
    <w:rsid w:val="25664EB1"/>
    <w:rsid w:val="2573629D"/>
    <w:rsid w:val="257B7E43"/>
    <w:rsid w:val="25A7022D"/>
    <w:rsid w:val="25E2513A"/>
    <w:rsid w:val="25F45922"/>
    <w:rsid w:val="25FD2F48"/>
    <w:rsid w:val="262E21CA"/>
    <w:rsid w:val="26713F63"/>
    <w:rsid w:val="26753166"/>
    <w:rsid w:val="267C5A99"/>
    <w:rsid w:val="2682148D"/>
    <w:rsid w:val="268D22B5"/>
    <w:rsid w:val="269240CC"/>
    <w:rsid w:val="269A47B4"/>
    <w:rsid w:val="26EC7F5B"/>
    <w:rsid w:val="27175BDC"/>
    <w:rsid w:val="271E071C"/>
    <w:rsid w:val="272B00CD"/>
    <w:rsid w:val="27381EB7"/>
    <w:rsid w:val="275E5E47"/>
    <w:rsid w:val="27924AA1"/>
    <w:rsid w:val="27962E21"/>
    <w:rsid w:val="279768B3"/>
    <w:rsid w:val="279A19EA"/>
    <w:rsid w:val="27B911ED"/>
    <w:rsid w:val="27D27F60"/>
    <w:rsid w:val="27E744FA"/>
    <w:rsid w:val="27F83B89"/>
    <w:rsid w:val="27FE146D"/>
    <w:rsid w:val="283E36E3"/>
    <w:rsid w:val="284675E2"/>
    <w:rsid w:val="284E0B22"/>
    <w:rsid w:val="28543497"/>
    <w:rsid w:val="28630B61"/>
    <w:rsid w:val="286C012F"/>
    <w:rsid w:val="289B5942"/>
    <w:rsid w:val="28B77612"/>
    <w:rsid w:val="28BB465F"/>
    <w:rsid w:val="29012269"/>
    <w:rsid w:val="291451AB"/>
    <w:rsid w:val="29157417"/>
    <w:rsid w:val="29285E0F"/>
    <w:rsid w:val="29505C1F"/>
    <w:rsid w:val="297158AB"/>
    <w:rsid w:val="29807966"/>
    <w:rsid w:val="29C02FCD"/>
    <w:rsid w:val="29C63807"/>
    <w:rsid w:val="29EB45D3"/>
    <w:rsid w:val="2A0312F6"/>
    <w:rsid w:val="2A07685B"/>
    <w:rsid w:val="2A2569D8"/>
    <w:rsid w:val="2A2F7528"/>
    <w:rsid w:val="2A3E46F3"/>
    <w:rsid w:val="2A7975D0"/>
    <w:rsid w:val="2A7B46D0"/>
    <w:rsid w:val="2A7E694A"/>
    <w:rsid w:val="2A88405F"/>
    <w:rsid w:val="2AC03F74"/>
    <w:rsid w:val="2ACD4D90"/>
    <w:rsid w:val="2ADC43C4"/>
    <w:rsid w:val="2AE07B98"/>
    <w:rsid w:val="2B1B36C2"/>
    <w:rsid w:val="2B7A42C1"/>
    <w:rsid w:val="2B82668D"/>
    <w:rsid w:val="2BBF0C02"/>
    <w:rsid w:val="2BDD28EB"/>
    <w:rsid w:val="2BF43094"/>
    <w:rsid w:val="2BF909AA"/>
    <w:rsid w:val="2C0757B7"/>
    <w:rsid w:val="2C660130"/>
    <w:rsid w:val="2CB9711D"/>
    <w:rsid w:val="2CF3363A"/>
    <w:rsid w:val="2D000C25"/>
    <w:rsid w:val="2D0F4DB4"/>
    <w:rsid w:val="2D2D36A5"/>
    <w:rsid w:val="2D365B16"/>
    <w:rsid w:val="2D5646DC"/>
    <w:rsid w:val="2D6D2070"/>
    <w:rsid w:val="2D9D0838"/>
    <w:rsid w:val="2DB652A4"/>
    <w:rsid w:val="2DB943B8"/>
    <w:rsid w:val="2DBB2419"/>
    <w:rsid w:val="2DBF7001"/>
    <w:rsid w:val="2DC26166"/>
    <w:rsid w:val="2DEA2F76"/>
    <w:rsid w:val="2DF041FF"/>
    <w:rsid w:val="2DF76E1B"/>
    <w:rsid w:val="2E10357E"/>
    <w:rsid w:val="2E177A17"/>
    <w:rsid w:val="2E1B30B3"/>
    <w:rsid w:val="2E3E487D"/>
    <w:rsid w:val="2E41360C"/>
    <w:rsid w:val="2E607FBE"/>
    <w:rsid w:val="2E615CAF"/>
    <w:rsid w:val="2E64456A"/>
    <w:rsid w:val="2E7264C5"/>
    <w:rsid w:val="2E7653DE"/>
    <w:rsid w:val="2E8C6A3D"/>
    <w:rsid w:val="2ED71BB4"/>
    <w:rsid w:val="2F066396"/>
    <w:rsid w:val="2F2655A5"/>
    <w:rsid w:val="2F30138F"/>
    <w:rsid w:val="2F5628C1"/>
    <w:rsid w:val="2F81781A"/>
    <w:rsid w:val="2FBA6AB0"/>
    <w:rsid w:val="2FDA5233"/>
    <w:rsid w:val="30186987"/>
    <w:rsid w:val="30396B3B"/>
    <w:rsid w:val="303D3D8D"/>
    <w:rsid w:val="30410449"/>
    <w:rsid w:val="304B34C7"/>
    <w:rsid w:val="306F3884"/>
    <w:rsid w:val="30AE1C64"/>
    <w:rsid w:val="30D06AF0"/>
    <w:rsid w:val="30DC1248"/>
    <w:rsid w:val="30E16401"/>
    <w:rsid w:val="31405015"/>
    <w:rsid w:val="31537EEC"/>
    <w:rsid w:val="316F0F32"/>
    <w:rsid w:val="31736100"/>
    <w:rsid w:val="31773981"/>
    <w:rsid w:val="319C6FC9"/>
    <w:rsid w:val="3205097C"/>
    <w:rsid w:val="3219245E"/>
    <w:rsid w:val="323677EC"/>
    <w:rsid w:val="323827BE"/>
    <w:rsid w:val="32495754"/>
    <w:rsid w:val="32541D1E"/>
    <w:rsid w:val="32605AA8"/>
    <w:rsid w:val="32615E04"/>
    <w:rsid w:val="326849A2"/>
    <w:rsid w:val="326B0F6E"/>
    <w:rsid w:val="328126D8"/>
    <w:rsid w:val="32A04DB4"/>
    <w:rsid w:val="32D07FAA"/>
    <w:rsid w:val="32DE0BF1"/>
    <w:rsid w:val="32E158F1"/>
    <w:rsid w:val="33031007"/>
    <w:rsid w:val="330A1B9B"/>
    <w:rsid w:val="33341058"/>
    <w:rsid w:val="338032CF"/>
    <w:rsid w:val="339F3BDD"/>
    <w:rsid w:val="33A9773C"/>
    <w:rsid w:val="33E93AE7"/>
    <w:rsid w:val="33FB47B2"/>
    <w:rsid w:val="33FE062C"/>
    <w:rsid w:val="340D123D"/>
    <w:rsid w:val="340D402A"/>
    <w:rsid w:val="34117F4A"/>
    <w:rsid w:val="34157A69"/>
    <w:rsid w:val="342F04EE"/>
    <w:rsid w:val="343773FE"/>
    <w:rsid w:val="344352BB"/>
    <w:rsid w:val="345F13D2"/>
    <w:rsid w:val="346614E2"/>
    <w:rsid w:val="346F44E7"/>
    <w:rsid w:val="3477121B"/>
    <w:rsid w:val="34C33940"/>
    <w:rsid w:val="34CE5612"/>
    <w:rsid w:val="34DA288E"/>
    <w:rsid w:val="34E07C21"/>
    <w:rsid w:val="34E11C57"/>
    <w:rsid w:val="34E43EEA"/>
    <w:rsid w:val="34F47C15"/>
    <w:rsid w:val="34F540BD"/>
    <w:rsid w:val="34FF3C2C"/>
    <w:rsid w:val="35063B46"/>
    <w:rsid w:val="351C3CD0"/>
    <w:rsid w:val="352F1E92"/>
    <w:rsid w:val="353763F9"/>
    <w:rsid w:val="353C79F3"/>
    <w:rsid w:val="353F5F9A"/>
    <w:rsid w:val="35600779"/>
    <w:rsid w:val="35976ED7"/>
    <w:rsid w:val="35980087"/>
    <w:rsid w:val="35B84DAB"/>
    <w:rsid w:val="35C52894"/>
    <w:rsid w:val="35F036ED"/>
    <w:rsid w:val="35FB5BA7"/>
    <w:rsid w:val="36021E5F"/>
    <w:rsid w:val="36327AC4"/>
    <w:rsid w:val="3634601F"/>
    <w:rsid w:val="36496AF6"/>
    <w:rsid w:val="36547421"/>
    <w:rsid w:val="367251E5"/>
    <w:rsid w:val="36903B9D"/>
    <w:rsid w:val="36C301B0"/>
    <w:rsid w:val="36C40C39"/>
    <w:rsid w:val="36C95739"/>
    <w:rsid w:val="36DE6128"/>
    <w:rsid w:val="36FD0B04"/>
    <w:rsid w:val="370275A1"/>
    <w:rsid w:val="372F7F54"/>
    <w:rsid w:val="374754B1"/>
    <w:rsid w:val="374E45F3"/>
    <w:rsid w:val="37624933"/>
    <w:rsid w:val="377870D5"/>
    <w:rsid w:val="378C7B63"/>
    <w:rsid w:val="37C01AB5"/>
    <w:rsid w:val="37C8480D"/>
    <w:rsid w:val="38107733"/>
    <w:rsid w:val="385F25BB"/>
    <w:rsid w:val="386609E8"/>
    <w:rsid w:val="387B2A25"/>
    <w:rsid w:val="38A0575D"/>
    <w:rsid w:val="38B577A9"/>
    <w:rsid w:val="38B74C05"/>
    <w:rsid w:val="38CC421D"/>
    <w:rsid w:val="38D16635"/>
    <w:rsid w:val="38D373E7"/>
    <w:rsid w:val="38FA57F0"/>
    <w:rsid w:val="3936186D"/>
    <w:rsid w:val="39514E0B"/>
    <w:rsid w:val="39566F53"/>
    <w:rsid w:val="395941C6"/>
    <w:rsid w:val="397905D6"/>
    <w:rsid w:val="39864DE3"/>
    <w:rsid w:val="399D5638"/>
    <w:rsid w:val="39B41C18"/>
    <w:rsid w:val="39B653E7"/>
    <w:rsid w:val="39C538F9"/>
    <w:rsid w:val="39D31839"/>
    <w:rsid w:val="39D7425E"/>
    <w:rsid w:val="3A255D6F"/>
    <w:rsid w:val="3A291776"/>
    <w:rsid w:val="3A43382A"/>
    <w:rsid w:val="3A51108A"/>
    <w:rsid w:val="3A604CCB"/>
    <w:rsid w:val="3A6711EA"/>
    <w:rsid w:val="3A6B021B"/>
    <w:rsid w:val="3A6C27C7"/>
    <w:rsid w:val="3A7E7CFE"/>
    <w:rsid w:val="3AB03D58"/>
    <w:rsid w:val="3AF31112"/>
    <w:rsid w:val="3AF71C4F"/>
    <w:rsid w:val="3B0C28E2"/>
    <w:rsid w:val="3B325752"/>
    <w:rsid w:val="3B4113F9"/>
    <w:rsid w:val="3B6E2308"/>
    <w:rsid w:val="3B700B9E"/>
    <w:rsid w:val="3B7A70C3"/>
    <w:rsid w:val="3B8C568A"/>
    <w:rsid w:val="3B8C6B52"/>
    <w:rsid w:val="3B9265F7"/>
    <w:rsid w:val="3BB36501"/>
    <w:rsid w:val="3BC10F8A"/>
    <w:rsid w:val="3BCA0430"/>
    <w:rsid w:val="3C0D7BA2"/>
    <w:rsid w:val="3C1464E6"/>
    <w:rsid w:val="3C1F3B0A"/>
    <w:rsid w:val="3C2F5079"/>
    <w:rsid w:val="3C820BF8"/>
    <w:rsid w:val="3CB974FB"/>
    <w:rsid w:val="3CFF2A56"/>
    <w:rsid w:val="3D083C3D"/>
    <w:rsid w:val="3D0F0BF5"/>
    <w:rsid w:val="3D254DA7"/>
    <w:rsid w:val="3D367754"/>
    <w:rsid w:val="3D4D01FD"/>
    <w:rsid w:val="3D8116F1"/>
    <w:rsid w:val="3D842DB5"/>
    <w:rsid w:val="3D927E3F"/>
    <w:rsid w:val="3DD76D85"/>
    <w:rsid w:val="3DD83ABF"/>
    <w:rsid w:val="3DDA437C"/>
    <w:rsid w:val="3DF461A3"/>
    <w:rsid w:val="3E0B6234"/>
    <w:rsid w:val="3E1516BF"/>
    <w:rsid w:val="3E600BB4"/>
    <w:rsid w:val="3E8A2129"/>
    <w:rsid w:val="3E8C3990"/>
    <w:rsid w:val="3EDA4D3F"/>
    <w:rsid w:val="3F0B745A"/>
    <w:rsid w:val="3F1708AB"/>
    <w:rsid w:val="3F8A3D39"/>
    <w:rsid w:val="3F8D0174"/>
    <w:rsid w:val="3F987717"/>
    <w:rsid w:val="3FD23300"/>
    <w:rsid w:val="3FF47042"/>
    <w:rsid w:val="3FF54785"/>
    <w:rsid w:val="3FFC0AB7"/>
    <w:rsid w:val="3FFF0B26"/>
    <w:rsid w:val="4015659C"/>
    <w:rsid w:val="401D268F"/>
    <w:rsid w:val="403D5DB4"/>
    <w:rsid w:val="40444047"/>
    <w:rsid w:val="40452250"/>
    <w:rsid w:val="405229A9"/>
    <w:rsid w:val="409E45E2"/>
    <w:rsid w:val="40A52125"/>
    <w:rsid w:val="40B61FF8"/>
    <w:rsid w:val="40C7171A"/>
    <w:rsid w:val="40D724A1"/>
    <w:rsid w:val="40E72D37"/>
    <w:rsid w:val="415A1391"/>
    <w:rsid w:val="415E5B0A"/>
    <w:rsid w:val="41965A41"/>
    <w:rsid w:val="41970D49"/>
    <w:rsid w:val="41B92A4F"/>
    <w:rsid w:val="41C964B4"/>
    <w:rsid w:val="41F92ABD"/>
    <w:rsid w:val="41FC1B6A"/>
    <w:rsid w:val="424D1C7F"/>
    <w:rsid w:val="425846A6"/>
    <w:rsid w:val="42624E34"/>
    <w:rsid w:val="427F218F"/>
    <w:rsid w:val="42840AD6"/>
    <w:rsid w:val="428B63CF"/>
    <w:rsid w:val="42AF67D0"/>
    <w:rsid w:val="42BC0E70"/>
    <w:rsid w:val="42C245CE"/>
    <w:rsid w:val="42DD0E52"/>
    <w:rsid w:val="431A0C24"/>
    <w:rsid w:val="434E1C20"/>
    <w:rsid w:val="43620283"/>
    <w:rsid w:val="4363286E"/>
    <w:rsid w:val="43A73BE3"/>
    <w:rsid w:val="43AE7A7E"/>
    <w:rsid w:val="43CF502D"/>
    <w:rsid w:val="440B02B4"/>
    <w:rsid w:val="441C5080"/>
    <w:rsid w:val="44233849"/>
    <w:rsid w:val="446B500C"/>
    <w:rsid w:val="448508DF"/>
    <w:rsid w:val="44BF18A2"/>
    <w:rsid w:val="44E23735"/>
    <w:rsid w:val="44EA77F7"/>
    <w:rsid w:val="45357785"/>
    <w:rsid w:val="45387766"/>
    <w:rsid w:val="453A760F"/>
    <w:rsid w:val="45491A3E"/>
    <w:rsid w:val="45503B28"/>
    <w:rsid w:val="45853082"/>
    <w:rsid w:val="45891F3C"/>
    <w:rsid w:val="4590274A"/>
    <w:rsid w:val="45FD0891"/>
    <w:rsid w:val="46185D52"/>
    <w:rsid w:val="462C285E"/>
    <w:rsid w:val="4639249F"/>
    <w:rsid w:val="463A0304"/>
    <w:rsid w:val="464A4975"/>
    <w:rsid w:val="467C2D95"/>
    <w:rsid w:val="4695468D"/>
    <w:rsid w:val="469A6A31"/>
    <w:rsid w:val="471553B4"/>
    <w:rsid w:val="471E6457"/>
    <w:rsid w:val="475F6267"/>
    <w:rsid w:val="4760207C"/>
    <w:rsid w:val="47743C9D"/>
    <w:rsid w:val="47906F17"/>
    <w:rsid w:val="479A7A31"/>
    <w:rsid w:val="479B1699"/>
    <w:rsid w:val="47AF51BF"/>
    <w:rsid w:val="47B81E12"/>
    <w:rsid w:val="47D03B18"/>
    <w:rsid w:val="47DB1D58"/>
    <w:rsid w:val="47ED29D3"/>
    <w:rsid w:val="47EF74A3"/>
    <w:rsid w:val="47F50C9B"/>
    <w:rsid w:val="4834394A"/>
    <w:rsid w:val="485A65F3"/>
    <w:rsid w:val="48987720"/>
    <w:rsid w:val="48AA0D47"/>
    <w:rsid w:val="48AB437A"/>
    <w:rsid w:val="48BB5E99"/>
    <w:rsid w:val="48E709AB"/>
    <w:rsid w:val="49074129"/>
    <w:rsid w:val="491E413A"/>
    <w:rsid w:val="492B5D1A"/>
    <w:rsid w:val="49356195"/>
    <w:rsid w:val="493E72F4"/>
    <w:rsid w:val="49477CA3"/>
    <w:rsid w:val="495D4FB7"/>
    <w:rsid w:val="495F0F47"/>
    <w:rsid w:val="49850611"/>
    <w:rsid w:val="49E47F0A"/>
    <w:rsid w:val="4A221E06"/>
    <w:rsid w:val="4A2C05A1"/>
    <w:rsid w:val="4A487A49"/>
    <w:rsid w:val="4A661827"/>
    <w:rsid w:val="4ABE4002"/>
    <w:rsid w:val="4AD3789D"/>
    <w:rsid w:val="4AE61558"/>
    <w:rsid w:val="4AE629A4"/>
    <w:rsid w:val="4AF93679"/>
    <w:rsid w:val="4B1E0386"/>
    <w:rsid w:val="4B327DA5"/>
    <w:rsid w:val="4B483ECE"/>
    <w:rsid w:val="4B4D5DE5"/>
    <w:rsid w:val="4B53713F"/>
    <w:rsid w:val="4B5E178B"/>
    <w:rsid w:val="4B7D53C9"/>
    <w:rsid w:val="4B85293F"/>
    <w:rsid w:val="4B902502"/>
    <w:rsid w:val="4B9B344B"/>
    <w:rsid w:val="4BDB55FA"/>
    <w:rsid w:val="4C3D55C6"/>
    <w:rsid w:val="4C667A5B"/>
    <w:rsid w:val="4C823BCA"/>
    <w:rsid w:val="4C9F1330"/>
    <w:rsid w:val="4CAB3457"/>
    <w:rsid w:val="4CF124C7"/>
    <w:rsid w:val="4CF70170"/>
    <w:rsid w:val="4CFA619E"/>
    <w:rsid w:val="4CFD777A"/>
    <w:rsid w:val="4D201110"/>
    <w:rsid w:val="4D3431C7"/>
    <w:rsid w:val="4D526F59"/>
    <w:rsid w:val="4D650150"/>
    <w:rsid w:val="4DE03AC2"/>
    <w:rsid w:val="4DEF02BD"/>
    <w:rsid w:val="4E0D72D8"/>
    <w:rsid w:val="4E383ED6"/>
    <w:rsid w:val="4E560D60"/>
    <w:rsid w:val="4E564593"/>
    <w:rsid w:val="4E703F51"/>
    <w:rsid w:val="4E942C0A"/>
    <w:rsid w:val="4E98220D"/>
    <w:rsid w:val="4EB7399D"/>
    <w:rsid w:val="4ECD2716"/>
    <w:rsid w:val="4EE73AF5"/>
    <w:rsid w:val="4EE84EA5"/>
    <w:rsid w:val="4EEE4AF5"/>
    <w:rsid w:val="4F0B544D"/>
    <w:rsid w:val="4F301FB1"/>
    <w:rsid w:val="4F4F7329"/>
    <w:rsid w:val="4F5260B5"/>
    <w:rsid w:val="4F58224C"/>
    <w:rsid w:val="4F5A7FFE"/>
    <w:rsid w:val="4F8B2726"/>
    <w:rsid w:val="4F8B4457"/>
    <w:rsid w:val="4FDA01F8"/>
    <w:rsid w:val="4FF221C3"/>
    <w:rsid w:val="4FFA0634"/>
    <w:rsid w:val="500032A2"/>
    <w:rsid w:val="504E08AD"/>
    <w:rsid w:val="505C4D01"/>
    <w:rsid w:val="507419FE"/>
    <w:rsid w:val="508B1CA1"/>
    <w:rsid w:val="50AF4B30"/>
    <w:rsid w:val="50BC5CDC"/>
    <w:rsid w:val="510819A0"/>
    <w:rsid w:val="51200E5F"/>
    <w:rsid w:val="5123009E"/>
    <w:rsid w:val="512C2CA7"/>
    <w:rsid w:val="512D289E"/>
    <w:rsid w:val="514152FB"/>
    <w:rsid w:val="51434ED1"/>
    <w:rsid w:val="516445A0"/>
    <w:rsid w:val="518956A9"/>
    <w:rsid w:val="52490C2A"/>
    <w:rsid w:val="525505B5"/>
    <w:rsid w:val="5261544F"/>
    <w:rsid w:val="52C504FB"/>
    <w:rsid w:val="52E13756"/>
    <w:rsid w:val="52E65840"/>
    <w:rsid w:val="52F47582"/>
    <w:rsid w:val="5371534A"/>
    <w:rsid w:val="53720C63"/>
    <w:rsid w:val="537700D3"/>
    <w:rsid w:val="53811681"/>
    <w:rsid w:val="538A520F"/>
    <w:rsid w:val="53933E3F"/>
    <w:rsid w:val="53B418CC"/>
    <w:rsid w:val="53F32910"/>
    <w:rsid w:val="53F4098D"/>
    <w:rsid w:val="53FE04C8"/>
    <w:rsid w:val="54206BE2"/>
    <w:rsid w:val="54297BB6"/>
    <w:rsid w:val="54336DD4"/>
    <w:rsid w:val="543660C2"/>
    <w:rsid w:val="54375971"/>
    <w:rsid w:val="54453F00"/>
    <w:rsid w:val="544D196D"/>
    <w:rsid w:val="5478326E"/>
    <w:rsid w:val="547F6951"/>
    <w:rsid w:val="54854CE2"/>
    <w:rsid w:val="548965FC"/>
    <w:rsid w:val="549F015A"/>
    <w:rsid w:val="54D730B0"/>
    <w:rsid w:val="54E812EA"/>
    <w:rsid w:val="54F76B5C"/>
    <w:rsid w:val="55020A87"/>
    <w:rsid w:val="550341FE"/>
    <w:rsid w:val="55042014"/>
    <w:rsid w:val="55210479"/>
    <w:rsid w:val="552A209A"/>
    <w:rsid w:val="55393BB8"/>
    <w:rsid w:val="55614C5E"/>
    <w:rsid w:val="558C2621"/>
    <w:rsid w:val="55AD3652"/>
    <w:rsid w:val="55B9606B"/>
    <w:rsid w:val="55DE0E54"/>
    <w:rsid w:val="55FF52A6"/>
    <w:rsid w:val="5633198E"/>
    <w:rsid w:val="563E5469"/>
    <w:rsid w:val="566919C6"/>
    <w:rsid w:val="566C5546"/>
    <w:rsid w:val="56745BC9"/>
    <w:rsid w:val="56CF2CF8"/>
    <w:rsid w:val="56E34EAC"/>
    <w:rsid w:val="570203D1"/>
    <w:rsid w:val="571159E3"/>
    <w:rsid w:val="571D3ABE"/>
    <w:rsid w:val="571F6B78"/>
    <w:rsid w:val="57645BA3"/>
    <w:rsid w:val="576A1B6C"/>
    <w:rsid w:val="57936854"/>
    <w:rsid w:val="579848F6"/>
    <w:rsid w:val="57A22474"/>
    <w:rsid w:val="57AF0A2B"/>
    <w:rsid w:val="57C43A36"/>
    <w:rsid w:val="57F62116"/>
    <w:rsid w:val="58101705"/>
    <w:rsid w:val="58335AD6"/>
    <w:rsid w:val="584265A5"/>
    <w:rsid w:val="58707FAE"/>
    <w:rsid w:val="58895B35"/>
    <w:rsid w:val="58C83D7C"/>
    <w:rsid w:val="58E7744A"/>
    <w:rsid w:val="5909370D"/>
    <w:rsid w:val="590D48EB"/>
    <w:rsid w:val="59495353"/>
    <w:rsid w:val="595D2922"/>
    <w:rsid w:val="59634E7E"/>
    <w:rsid w:val="597265E6"/>
    <w:rsid w:val="59A85569"/>
    <w:rsid w:val="59A90DF6"/>
    <w:rsid w:val="59B8686F"/>
    <w:rsid w:val="59B86AAB"/>
    <w:rsid w:val="59BF5B8E"/>
    <w:rsid w:val="59D027D3"/>
    <w:rsid w:val="59DE0C7A"/>
    <w:rsid w:val="59F04D56"/>
    <w:rsid w:val="5A125C89"/>
    <w:rsid w:val="5A4F7A61"/>
    <w:rsid w:val="5AA026B8"/>
    <w:rsid w:val="5AA116D7"/>
    <w:rsid w:val="5AE821DA"/>
    <w:rsid w:val="5AED557F"/>
    <w:rsid w:val="5AFD1904"/>
    <w:rsid w:val="5B2C0607"/>
    <w:rsid w:val="5B3034F1"/>
    <w:rsid w:val="5B424CC5"/>
    <w:rsid w:val="5B63362E"/>
    <w:rsid w:val="5B755268"/>
    <w:rsid w:val="5B9C2FC5"/>
    <w:rsid w:val="5BC86521"/>
    <w:rsid w:val="5C082709"/>
    <w:rsid w:val="5C14060C"/>
    <w:rsid w:val="5C2E582C"/>
    <w:rsid w:val="5C7639BC"/>
    <w:rsid w:val="5CD12F06"/>
    <w:rsid w:val="5CF7084F"/>
    <w:rsid w:val="5D147937"/>
    <w:rsid w:val="5D1634FA"/>
    <w:rsid w:val="5D614E5A"/>
    <w:rsid w:val="5D7A4EBD"/>
    <w:rsid w:val="5D7B2AFB"/>
    <w:rsid w:val="5D9D4948"/>
    <w:rsid w:val="5DA07441"/>
    <w:rsid w:val="5DCD5EDE"/>
    <w:rsid w:val="5DDD01B0"/>
    <w:rsid w:val="5DEE4FE1"/>
    <w:rsid w:val="5E040F9B"/>
    <w:rsid w:val="5E163DAD"/>
    <w:rsid w:val="5E18199F"/>
    <w:rsid w:val="5E276BBA"/>
    <w:rsid w:val="5E4A34BA"/>
    <w:rsid w:val="5E572B7B"/>
    <w:rsid w:val="5ED929BD"/>
    <w:rsid w:val="5EEF44C3"/>
    <w:rsid w:val="5EF64B87"/>
    <w:rsid w:val="5EFE24CD"/>
    <w:rsid w:val="5F1E02ED"/>
    <w:rsid w:val="5F5335CE"/>
    <w:rsid w:val="5F6123D2"/>
    <w:rsid w:val="5F7C6175"/>
    <w:rsid w:val="5F8C113D"/>
    <w:rsid w:val="5FB55859"/>
    <w:rsid w:val="5FEE6A48"/>
    <w:rsid w:val="6028198E"/>
    <w:rsid w:val="6060214E"/>
    <w:rsid w:val="6071387E"/>
    <w:rsid w:val="60932B78"/>
    <w:rsid w:val="60B1182C"/>
    <w:rsid w:val="60B54E5F"/>
    <w:rsid w:val="60D67EB5"/>
    <w:rsid w:val="60E72435"/>
    <w:rsid w:val="60F12408"/>
    <w:rsid w:val="60F915AE"/>
    <w:rsid w:val="61186844"/>
    <w:rsid w:val="61196AEE"/>
    <w:rsid w:val="612015DC"/>
    <w:rsid w:val="613D3456"/>
    <w:rsid w:val="6161246C"/>
    <w:rsid w:val="617A09D3"/>
    <w:rsid w:val="617E2BD9"/>
    <w:rsid w:val="61AB7F4F"/>
    <w:rsid w:val="61BC7327"/>
    <w:rsid w:val="61F12BA4"/>
    <w:rsid w:val="61FC795F"/>
    <w:rsid w:val="622A0453"/>
    <w:rsid w:val="62554D7B"/>
    <w:rsid w:val="62870321"/>
    <w:rsid w:val="62892F39"/>
    <w:rsid w:val="62A52639"/>
    <w:rsid w:val="62C313EC"/>
    <w:rsid w:val="62D2532D"/>
    <w:rsid w:val="62D32926"/>
    <w:rsid w:val="62EB1C80"/>
    <w:rsid w:val="6306529F"/>
    <w:rsid w:val="632B7CB6"/>
    <w:rsid w:val="632D6A8C"/>
    <w:rsid w:val="63326075"/>
    <w:rsid w:val="63577595"/>
    <w:rsid w:val="636D1281"/>
    <w:rsid w:val="63921C8F"/>
    <w:rsid w:val="63C546CA"/>
    <w:rsid w:val="63D43500"/>
    <w:rsid w:val="64463885"/>
    <w:rsid w:val="646C6942"/>
    <w:rsid w:val="648101EB"/>
    <w:rsid w:val="64C649E5"/>
    <w:rsid w:val="64C971FC"/>
    <w:rsid w:val="64D17A33"/>
    <w:rsid w:val="651F176C"/>
    <w:rsid w:val="65243799"/>
    <w:rsid w:val="653730AD"/>
    <w:rsid w:val="65473BE4"/>
    <w:rsid w:val="654823B1"/>
    <w:rsid w:val="658B7760"/>
    <w:rsid w:val="659514FA"/>
    <w:rsid w:val="65B4203E"/>
    <w:rsid w:val="65C562C1"/>
    <w:rsid w:val="65DA30E2"/>
    <w:rsid w:val="65EE7177"/>
    <w:rsid w:val="6635457B"/>
    <w:rsid w:val="663B78CC"/>
    <w:rsid w:val="66645598"/>
    <w:rsid w:val="66713242"/>
    <w:rsid w:val="66A57E71"/>
    <w:rsid w:val="66BD4460"/>
    <w:rsid w:val="66D47A94"/>
    <w:rsid w:val="66E4759D"/>
    <w:rsid w:val="674B4F4A"/>
    <w:rsid w:val="676A3DA6"/>
    <w:rsid w:val="67773A51"/>
    <w:rsid w:val="679805D8"/>
    <w:rsid w:val="67BC3FEE"/>
    <w:rsid w:val="67CA7544"/>
    <w:rsid w:val="67D477F8"/>
    <w:rsid w:val="67FF7C3A"/>
    <w:rsid w:val="6829477F"/>
    <w:rsid w:val="682F4FA9"/>
    <w:rsid w:val="68323C50"/>
    <w:rsid w:val="686332F5"/>
    <w:rsid w:val="68646588"/>
    <w:rsid w:val="688232C2"/>
    <w:rsid w:val="68843A78"/>
    <w:rsid w:val="689F0599"/>
    <w:rsid w:val="68B43376"/>
    <w:rsid w:val="68F053F6"/>
    <w:rsid w:val="68F43A1E"/>
    <w:rsid w:val="69145603"/>
    <w:rsid w:val="69423186"/>
    <w:rsid w:val="69432BE1"/>
    <w:rsid w:val="694D728A"/>
    <w:rsid w:val="6988057F"/>
    <w:rsid w:val="699906A2"/>
    <w:rsid w:val="69AC12C2"/>
    <w:rsid w:val="69C411D0"/>
    <w:rsid w:val="69C62FFA"/>
    <w:rsid w:val="69D86C6D"/>
    <w:rsid w:val="69FA48D7"/>
    <w:rsid w:val="6A0D6DC9"/>
    <w:rsid w:val="6A4A19BA"/>
    <w:rsid w:val="6A564EBF"/>
    <w:rsid w:val="6A645FFB"/>
    <w:rsid w:val="6A6A2D90"/>
    <w:rsid w:val="6A701056"/>
    <w:rsid w:val="6A7A24EF"/>
    <w:rsid w:val="6A7E361E"/>
    <w:rsid w:val="6A9A2282"/>
    <w:rsid w:val="6ABB292C"/>
    <w:rsid w:val="6AC46CE5"/>
    <w:rsid w:val="6ACD0D45"/>
    <w:rsid w:val="6AFE0C80"/>
    <w:rsid w:val="6B2A0779"/>
    <w:rsid w:val="6B2B1D80"/>
    <w:rsid w:val="6B3D3548"/>
    <w:rsid w:val="6B664EB6"/>
    <w:rsid w:val="6BA87D31"/>
    <w:rsid w:val="6BB72998"/>
    <w:rsid w:val="6BBC73BD"/>
    <w:rsid w:val="6BC066B1"/>
    <w:rsid w:val="6C0B1660"/>
    <w:rsid w:val="6C533915"/>
    <w:rsid w:val="6C7F31BE"/>
    <w:rsid w:val="6CD91C0E"/>
    <w:rsid w:val="6CE01353"/>
    <w:rsid w:val="6CEA7AAC"/>
    <w:rsid w:val="6CF35CFC"/>
    <w:rsid w:val="6CFA25E1"/>
    <w:rsid w:val="6D3F29A1"/>
    <w:rsid w:val="6D651DF3"/>
    <w:rsid w:val="6D9E263C"/>
    <w:rsid w:val="6DD658EE"/>
    <w:rsid w:val="6DDD6E36"/>
    <w:rsid w:val="6DEC1C21"/>
    <w:rsid w:val="6E152319"/>
    <w:rsid w:val="6E3B0BAF"/>
    <w:rsid w:val="6E3E0629"/>
    <w:rsid w:val="6E501AEB"/>
    <w:rsid w:val="6E7C11B5"/>
    <w:rsid w:val="6E7F556F"/>
    <w:rsid w:val="6E997C25"/>
    <w:rsid w:val="6E9F07E1"/>
    <w:rsid w:val="6EA14A30"/>
    <w:rsid w:val="6EB6105A"/>
    <w:rsid w:val="6EC629FF"/>
    <w:rsid w:val="6EC7282F"/>
    <w:rsid w:val="6F1C104C"/>
    <w:rsid w:val="6F26499B"/>
    <w:rsid w:val="6F2F3282"/>
    <w:rsid w:val="6F587A8E"/>
    <w:rsid w:val="6F5A7044"/>
    <w:rsid w:val="6F5D5506"/>
    <w:rsid w:val="6F600C59"/>
    <w:rsid w:val="6F7E2770"/>
    <w:rsid w:val="6F8776A7"/>
    <w:rsid w:val="6F957D21"/>
    <w:rsid w:val="6FA57C2A"/>
    <w:rsid w:val="6FD175F7"/>
    <w:rsid w:val="6FD95378"/>
    <w:rsid w:val="703C1CAA"/>
    <w:rsid w:val="703E1108"/>
    <w:rsid w:val="704B7EBD"/>
    <w:rsid w:val="707F7FC1"/>
    <w:rsid w:val="70830694"/>
    <w:rsid w:val="7092075C"/>
    <w:rsid w:val="70AF49AD"/>
    <w:rsid w:val="70E234A9"/>
    <w:rsid w:val="712D7A96"/>
    <w:rsid w:val="71334F8E"/>
    <w:rsid w:val="713C2BF3"/>
    <w:rsid w:val="715517E0"/>
    <w:rsid w:val="71682CDB"/>
    <w:rsid w:val="717C301D"/>
    <w:rsid w:val="71AC3CA8"/>
    <w:rsid w:val="71E67530"/>
    <w:rsid w:val="71F552A8"/>
    <w:rsid w:val="71FD3369"/>
    <w:rsid w:val="7208350E"/>
    <w:rsid w:val="72264502"/>
    <w:rsid w:val="723358B2"/>
    <w:rsid w:val="72363B93"/>
    <w:rsid w:val="72366F69"/>
    <w:rsid w:val="72546CCC"/>
    <w:rsid w:val="72571A57"/>
    <w:rsid w:val="72981E43"/>
    <w:rsid w:val="72AD5CE4"/>
    <w:rsid w:val="72BB344D"/>
    <w:rsid w:val="72BD396A"/>
    <w:rsid w:val="72EA334F"/>
    <w:rsid w:val="730B241D"/>
    <w:rsid w:val="734C24BD"/>
    <w:rsid w:val="7357002D"/>
    <w:rsid w:val="73576104"/>
    <w:rsid w:val="73815738"/>
    <w:rsid w:val="739F3A97"/>
    <w:rsid w:val="73AF1694"/>
    <w:rsid w:val="73B673EF"/>
    <w:rsid w:val="73F02366"/>
    <w:rsid w:val="742254DD"/>
    <w:rsid w:val="7437180D"/>
    <w:rsid w:val="74391D4B"/>
    <w:rsid w:val="74483CFE"/>
    <w:rsid w:val="744B0DA7"/>
    <w:rsid w:val="744D3074"/>
    <w:rsid w:val="74624CC6"/>
    <w:rsid w:val="746A5AD3"/>
    <w:rsid w:val="74723306"/>
    <w:rsid w:val="747A2CC8"/>
    <w:rsid w:val="747F3641"/>
    <w:rsid w:val="74B579B7"/>
    <w:rsid w:val="74BB7061"/>
    <w:rsid w:val="74CE3EB2"/>
    <w:rsid w:val="74E82D21"/>
    <w:rsid w:val="750E03C1"/>
    <w:rsid w:val="751C6251"/>
    <w:rsid w:val="751E470B"/>
    <w:rsid w:val="753D7B6A"/>
    <w:rsid w:val="754026A2"/>
    <w:rsid w:val="75670772"/>
    <w:rsid w:val="757C44C8"/>
    <w:rsid w:val="759A09C5"/>
    <w:rsid w:val="75A6427E"/>
    <w:rsid w:val="75B243A7"/>
    <w:rsid w:val="75DE6DB1"/>
    <w:rsid w:val="75E572CF"/>
    <w:rsid w:val="75FB07A2"/>
    <w:rsid w:val="761375E4"/>
    <w:rsid w:val="76217478"/>
    <w:rsid w:val="763C572C"/>
    <w:rsid w:val="7666354F"/>
    <w:rsid w:val="766B6ECD"/>
    <w:rsid w:val="76855EB9"/>
    <w:rsid w:val="7692691E"/>
    <w:rsid w:val="76996365"/>
    <w:rsid w:val="769A10D0"/>
    <w:rsid w:val="76C2349E"/>
    <w:rsid w:val="76CB35EC"/>
    <w:rsid w:val="76D054CE"/>
    <w:rsid w:val="77040C67"/>
    <w:rsid w:val="773B587C"/>
    <w:rsid w:val="774271F2"/>
    <w:rsid w:val="77653D55"/>
    <w:rsid w:val="776A7D9F"/>
    <w:rsid w:val="77734AD9"/>
    <w:rsid w:val="77767106"/>
    <w:rsid w:val="77AB2363"/>
    <w:rsid w:val="77F3466D"/>
    <w:rsid w:val="780127F5"/>
    <w:rsid w:val="7822274B"/>
    <w:rsid w:val="7840608D"/>
    <w:rsid w:val="78494C44"/>
    <w:rsid w:val="78594455"/>
    <w:rsid w:val="78786AB3"/>
    <w:rsid w:val="78B065B0"/>
    <w:rsid w:val="78C33E4A"/>
    <w:rsid w:val="7901119D"/>
    <w:rsid w:val="790D3EA5"/>
    <w:rsid w:val="791B2495"/>
    <w:rsid w:val="791D2A50"/>
    <w:rsid w:val="79366F18"/>
    <w:rsid w:val="79432736"/>
    <w:rsid w:val="79660E81"/>
    <w:rsid w:val="797940FE"/>
    <w:rsid w:val="79AA4A14"/>
    <w:rsid w:val="79B63FC9"/>
    <w:rsid w:val="79DE02DD"/>
    <w:rsid w:val="79E07E40"/>
    <w:rsid w:val="79EB5D1B"/>
    <w:rsid w:val="79FC6182"/>
    <w:rsid w:val="7A0A6F4F"/>
    <w:rsid w:val="7A456F6D"/>
    <w:rsid w:val="7A5F16CA"/>
    <w:rsid w:val="7A710D8E"/>
    <w:rsid w:val="7AB1300F"/>
    <w:rsid w:val="7AB64E52"/>
    <w:rsid w:val="7ADA0EA4"/>
    <w:rsid w:val="7AE75FBC"/>
    <w:rsid w:val="7AFC56DC"/>
    <w:rsid w:val="7B0D3216"/>
    <w:rsid w:val="7B345398"/>
    <w:rsid w:val="7B355131"/>
    <w:rsid w:val="7B590C27"/>
    <w:rsid w:val="7B6C5EAB"/>
    <w:rsid w:val="7B7814A8"/>
    <w:rsid w:val="7B861DF2"/>
    <w:rsid w:val="7BA33013"/>
    <w:rsid w:val="7BF702E8"/>
    <w:rsid w:val="7BFA0FA5"/>
    <w:rsid w:val="7BFE2BF5"/>
    <w:rsid w:val="7C162A9E"/>
    <w:rsid w:val="7C177BEA"/>
    <w:rsid w:val="7C206AB7"/>
    <w:rsid w:val="7C8646F6"/>
    <w:rsid w:val="7C9B46D0"/>
    <w:rsid w:val="7CA95B93"/>
    <w:rsid w:val="7CBC0850"/>
    <w:rsid w:val="7CD3681B"/>
    <w:rsid w:val="7CF20DD2"/>
    <w:rsid w:val="7CFF7134"/>
    <w:rsid w:val="7D8603E2"/>
    <w:rsid w:val="7D9C553A"/>
    <w:rsid w:val="7DD0508B"/>
    <w:rsid w:val="7DE4119D"/>
    <w:rsid w:val="7DEE5B58"/>
    <w:rsid w:val="7E0B1390"/>
    <w:rsid w:val="7E2B13AE"/>
    <w:rsid w:val="7ED03245"/>
    <w:rsid w:val="7ED25E9B"/>
    <w:rsid w:val="7ED37D6E"/>
    <w:rsid w:val="7F7D2EBD"/>
    <w:rsid w:val="7F8846F0"/>
    <w:rsid w:val="7FAD2052"/>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theme/theme1.xml" Type="http://schemas.openxmlformats.org/officeDocument/2006/relationships/theme"/><Relationship Id="rId2" Target="settings.xml" Type="http://schemas.openxmlformats.org/officeDocument/2006/relationships/settings"/><Relationship Id="rId20" Target="../customXml/item1.xml" Type="http://schemas.openxmlformats.org/officeDocument/2006/relationships/customXml"/><Relationship Id="rId21" Target="numbering.xml" Type="http://schemas.openxmlformats.org/officeDocument/2006/relationships/numbering"/><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27</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2021-08-11T06:50:34Z</dcterms:modified>
  <cp:revision>175</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